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7AF" w:rsidRPr="000957AF" w:rsidRDefault="000957AF" w:rsidP="00CA4EB1">
      <w:pPr>
        <w:jc w:val="center"/>
        <w:rPr>
          <w:rFonts w:ascii="Calibri" w:hAnsi="Calibri"/>
          <w:b/>
          <w:sz w:val="28"/>
          <w:szCs w:val="28"/>
        </w:rPr>
      </w:pPr>
      <w:r w:rsidRPr="000957AF">
        <w:rPr>
          <w:rFonts w:ascii="Calibri" w:hAnsi="Calibri"/>
          <w:b/>
          <w:sz w:val="28"/>
          <w:szCs w:val="28"/>
        </w:rPr>
        <w:t>Tool Summary Sheet:</w:t>
      </w:r>
    </w:p>
    <w:p w:rsidR="000957AF" w:rsidRPr="000957AF" w:rsidRDefault="000957AF" w:rsidP="000957AF">
      <w:pPr>
        <w:jc w:val="center"/>
        <w:rPr>
          <w:rFonts w:ascii="Calibri" w:hAnsi="Calibri"/>
          <w:b/>
          <w:sz w:val="28"/>
          <w:szCs w:val="28"/>
        </w:rPr>
      </w:pPr>
      <w:r w:rsidRPr="000957AF">
        <w:rPr>
          <w:rFonts w:ascii="Calibri" w:hAnsi="Calibri"/>
          <w:b/>
          <w:sz w:val="28"/>
          <w:szCs w:val="28"/>
        </w:rPr>
        <w:t>Safety Definitions for Clinical Research</w:t>
      </w:r>
    </w:p>
    <w:p w:rsidR="000957AF" w:rsidRPr="000957AF" w:rsidRDefault="000957AF" w:rsidP="00E578E8">
      <w:pPr>
        <w:tabs>
          <w:tab w:val="left" w:pos="2182"/>
        </w:tabs>
        <w:spacing w:line="240" w:lineRule="auto"/>
        <w:rPr>
          <w:rFonts w:ascii="Calibri" w:hAnsi="Calibri"/>
          <w:szCs w:val="22"/>
        </w:rPr>
      </w:pPr>
    </w:p>
    <w:p w:rsidR="000957AF" w:rsidRPr="000957AF" w:rsidRDefault="000957AF" w:rsidP="000957AF">
      <w:pPr>
        <w:pBdr>
          <w:top w:val="single" w:sz="4" w:space="1" w:color="auto"/>
          <w:left w:val="single" w:sz="4" w:space="4" w:color="auto"/>
          <w:bottom w:val="single" w:sz="4" w:space="1" w:color="auto"/>
          <w:right w:val="single" w:sz="4" w:space="4" w:color="auto"/>
        </w:pBdr>
        <w:tabs>
          <w:tab w:val="left" w:pos="2182"/>
        </w:tabs>
        <w:spacing w:before="120" w:after="120" w:line="240" w:lineRule="auto"/>
        <w:rPr>
          <w:rFonts w:ascii="Calibri" w:hAnsi="Calibri"/>
          <w:sz w:val="24"/>
          <w:szCs w:val="24"/>
        </w:rPr>
      </w:pPr>
      <w:r w:rsidRPr="000957AF">
        <w:rPr>
          <w:rFonts w:ascii="Calibri" w:hAnsi="Calibri"/>
          <w:b/>
          <w:sz w:val="24"/>
          <w:szCs w:val="24"/>
        </w:rPr>
        <w:t>Purpose</w:t>
      </w:r>
      <w:r w:rsidRPr="000957AF">
        <w:rPr>
          <w:rFonts w:ascii="Calibri" w:hAnsi="Calibri"/>
          <w:sz w:val="24"/>
          <w:szCs w:val="24"/>
        </w:rPr>
        <w:t>:  To provide definitions of important safety terminology for educational purposes.  Terminology may be used for protocol development when a protocol template with sample language is not already available.</w:t>
      </w:r>
    </w:p>
    <w:p w:rsidR="000957AF" w:rsidRPr="000957AF" w:rsidRDefault="000957AF" w:rsidP="00E578E8">
      <w:pPr>
        <w:tabs>
          <w:tab w:val="left" w:pos="2182"/>
        </w:tabs>
        <w:spacing w:line="240" w:lineRule="auto"/>
        <w:rPr>
          <w:rFonts w:ascii="Calibri" w:hAnsi="Calibri"/>
          <w:szCs w:val="22"/>
        </w:rPr>
      </w:pPr>
    </w:p>
    <w:p w:rsidR="000957AF" w:rsidRPr="000957AF" w:rsidRDefault="000957AF" w:rsidP="000957AF">
      <w:pPr>
        <w:spacing w:after="120" w:line="240" w:lineRule="auto"/>
        <w:jc w:val="both"/>
        <w:rPr>
          <w:rFonts w:ascii="Calibri" w:hAnsi="Calibri"/>
          <w:b/>
          <w:szCs w:val="22"/>
          <w:u w:val="single"/>
        </w:rPr>
      </w:pPr>
      <w:r w:rsidRPr="000957AF">
        <w:rPr>
          <w:rFonts w:ascii="Calibri" w:hAnsi="Calibri"/>
          <w:b/>
          <w:szCs w:val="22"/>
          <w:u w:val="single"/>
        </w:rPr>
        <w:t>Audience/User</w:t>
      </w:r>
    </w:p>
    <w:p w:rsidR="000957AF" w:rsidRPr="000957AF" w:rsidRDefault="000957AF" w:rsidP="000957AF">
      <w:pPr>
        <w:spacing w:after="120" w:line="240" w:lineRule="auto"/>
        <w:jc w:val="both"/>
        <w:rPr>
          <w:rFonts w:ascii="Calibri" w:hAnsi="Calibri"/>
          <w:b/>
          <w:szCs w:val="22"/>
          <w:u w:val="single"/>
        </w:rPr>
      </w:pPr>
      <w:r w:rsidRPr="000957AF">
        <w:rPr>
          <w:rFonts w:ascii="Calibri" w:hAnsi="Calibri"/>
          <w:szCs w:val="22"/>
        </w:rPr>
        <w:t>Investigators, site staff, data coordinating staff, statisticians</w:t>
      </w:r>
    </w:p>
    <w:p w:rsidR="000957AF" w:rsidRPr="000957AF" w:rsidRDefault="000957AF" w:rsidP="000957AF">
      <w:pPr>
        <w:spacing w:after="120" w:line="240" w:lineRule="auto"/>
        <w:jc w:val="both"/>
        <w:rPr>
          <w:rFonts w:ascii="Calibri" w:hAnsi="Calibri"/>
          <w:b/>
          <w:szCs w:val="22"/>
          <w:u w:val="single"/>
        </w:rPr>
      </w:pPr>
      <w:r w:rsidRPr="000957AF">
        <w:rPr>
          <w:rFonts w:ascii="Calibri" w:hAnsi="Calibri"/>
          <w:b/>
          <w:szCs w:val="22"/>
          <w:u w:val="single"/>
        </w:rPr>
        <w:t>Details</w:t>
      </w:r>
    </w:p>
    <w:p w:rsidR="000957AF" w:rsidRPr="000957AF" w:rsidRDefault="000957AF" w:rsidP="000957AF">
      <w:pPr>
        <w:spacing w:line="240" w:lineRule="auto"/>
        <w:jc w:val="both"/>
        <w:rPr>
          <w:rFonts w:ascii="Calibri" w:hAnsi="Calibri"/>
          <w:szCs w:val="22"/>
        </w:rPr>
      </w:pPr>
      <w:r w:rsidRPr="000957AF">
        <w:rPr>
          <w:rFonts w:ascii="Calibri" w:hAnsi="Calibri"/>
          <w:szCs w:val="22"/>
        </w:rPr>
        <w:t>This tool provides definitions, references, and additional guidance associated with safety terminology</w:t>
      </w:r>
    </w:p>
    <w:p w:rsidR="000957AF" w:rsidRPr="000957AF" w:rsidRDefault="000957AF" w:rsidP="000957AF">
      <w:pPr>
        <w:spacing w:line="240" w:lineRule="auto"/>
        <w:jc w:val="both"/>
        <w:rPr>
          <w:rFonts w:ascii="Calibri" w:hAnsi="Calibri"/>
          <w:szCs w:val="22"/>
        </w:rPr>
      </w:pPr>
    </w:p>
    <w:p w:rsidR="000957AF" w:rsidRPr="000957AF" w:rsidRDefault="000957AF" w:rsidP="000957AF">
      <w:pPr>
        <w:spacing w:after="120" w:line="240" w:lineRule="auto"/>
        <w:jc w:val="both"/>
        <w:rPr>
          <w:rFonts w:ascii="Calibri" w:hAnsi="Calibri"/>
          <w:b/>
          <w:szCs w:val="22"/>
          <w:u w:val="single"/>
        </w:rPr>
      </w:pPr>
      <w:r w:rsidRPr="000957AF">
        <w:rPr>
          <w:rFonts w:ascii="Calibri" w:hAnsi="Calibri"/>
          <w:b/>
          <w:szCs w:val="22"/>
          <w:u w:val="single"/>
        </w:rPr>
        <w:t>Best Practice Recommendations</w:t>
      </w:r>
    </w:p>
    <w:p w:rsidR="000957AF" w:rsidRPr="000957AF" w:rsidRDefault="000957AF" w:rsidP="000957AF">
      <w:pPr>
        <w:numPr>
          <w:ilvl w:val="0"/>
          <w:numId w:val="25"/>
        </w:numPr>
        <w:spacing w:after="60" w:line="240" w:lineRule="auto"/>
        <w:rPr>
          <w:rFonts w:ascii="Calibri" w:hAnsi="Calibri" w:cs="Arial"/>
          <w:szCs w:val="22"/>
        </w:rPr>
      </w:pPr>
      <w:r w:rsidRPr="000957AF">
        <w:rPr>
          <w:rFonts w:ascii="Calibri" w:hAnsi="Calibri" w:cs="Arial"/>
          <w:szCs w:val="22"/>
        </w:rPr>
        <w:t>When using these definitions during protocol development, ensure the protocol includes definitions of safety terms that are most relevant to the nature of the protocol.</w:t>
      </w:r>
    </w:p>
    <w:p w:rsidR="000957AF" w:rsidRPr="000957AF" w:rsidRDefault="000957AF" w:rsidP="000957AF">
      <w:pPr>
        <w:numPr>
          <w:ilvl w:val="0"/>
          <w:numId w:val="25"/>
        </w:numPr>
        <w:spacing w:after="60" w:line="240" w:lineRule="auto"/>
        <w:rPr>
          <w:rFonts w:ascii="Calibri" w:hAnsi="Calibri" w:cs="Arial"/>
          <w:szCs w:val="22"/>
        </w:rPr>
      </w:pPr>
      <w:r w:rsidRPr="000957AF">
        <w:rPr>
          <w:rFonts w:ascii="Calibri" w:hAnsi="Calibri" w:cs="Arial"/>
          <w:szCs w:val="22"/>
        </w:rPr>
        <w:t>Even ICH/CFR standard definitions of adverse events and serious adverse events may be modified, as long as those modifications are approved by the governing IRB/IEC and regulatory body, as required.  For example, in a patient population that is regularly hospitalized, an event may be considered serious only if the hospitalization is &gt; 4 days.</w:t>
      </w:r>
    </w:p>
    <w:p w:rsidR="000957AF" w:rsidRPr="000957AF" w:rsidRDefault="000957AF" w:rsidP="000957AF">
      <w:pPr>
        <w:numPr>
          <w:ilvl w:val="0"/>
          <w:numId w:val="25"/>
        </w:numPr>
        <w:spacing w:after="60" w:line="240" w:lineRule="auto"/>
        <w:rPr>
          <w:rFonts w:ascii="Calibri" w:hAnsi="Calibri"/>
          <w:szCs w:val="22"/>
        </w:rPr>
      </w:pPr>
      <w:r w:rsidRPr="000957AF">
        <w:rPr>
          <w:rFonts w:ascii="Calibri" w:hAnsi="Calibri" w:cs="Arial"/>
          <w:szCs w:val="22"/>
        </w:rPr>
        <w:t xml:space="preserve">In the document, the instructional text is indicated by </w:t>
      </w:r>
      <w:r w:rsidRPr="000957AF">
        <w:rPr>
          <w:rFonts w:ascii="Calibri" w:hAnsi="Calibri" w:cs="Arial"/>
          <w:i/>
          <w:color w:val="1F497D"/>
          <w:szCs w:val="22"/>
        </w:rPr>
        <w:t>{blue italics}</w:t>
      </w:r>
      <w:r w:rsidRPr="000957AF">
        <w:rPr>
          <w:rFonts w:ascii="Calibri" w:hAnsi="Calibri" w:cs="Arial"/>
          <w:szCs w:val="22"/>
        </w:rPr>
        <w:t xml:space="preserve"> (“CROMS_Instruction” style).</w:t>
      </w:r>
      <w:r w:rsidR="00C2173F">
        <w:rPr>
          <w:rFonts w:ascii="Calibri" w:hAnsi="Calibri" w:cs="Arial"/>
          <w:szCs w:val="22"/>
        </w:rPr>
        <w:t xml:space="preserve"> </w:t>
      </w:r>
    </w:p>
    <w:p w:rsidR="000957AF" w:rsidRPr="000957AF" w:rsidRDefault="000957AF" w:rsidP="000957AF">
      <w:pPr>
        <w:spacing w:line="240" w:lineRule="auto"/>
        <w:rPr>
          <w:rFonts w:ascii="Calibri" w:hAnsi="Calibri"/>
          <w:szCs w:val="22"/>
        </w:rPr>
      </w:pPr>
    </w:p>
    <w:p w:rsidR="000957AF" w:rsidRPr="000957AF" w:rsidRDefault="000957AF" w:rsidP="000957AF">
      <w:pPr>
        <w:spacing w:after="120" w:line="240" w:lineRule="auto"/>
        <w:jc w:val="both"/>
        <w:rPr>
          <w:rFonts w:ascii="Calibri" w:hAnsi="Calibri"/>
          <w:b/>
          <w:szCs w:val="22"/>
          <w:u w:val="single"/>
        </w:rPr>
      </w:pPr>
      <w:r w:rsidRPr="000957AF">
        <w:rPr>
          <w:rFonts w:ascii="Calibri" w:hAnsi="Calibri"/>
          <w:b/>
          <w:szCs w:val="22"/>
          <w:u w:val="single"/>
        </w:rPr>
        <w:t>References</w:t>
      </w:r>
    </w:p>
    <w:p w:rsidR="000957AF" w:rsidRPr="000957AF" w:rsidRDefault="000957AF" w:rsidP="000957AF">
      <w:pPr>
        <w:spacing w:after="180" w:line="240" w:lineRule="auto"/>
        <w:rPr>
          <w:rFonts w:ascii="Calibri" w:hAnsi="Calibri" w:cs="Calibri"/>
          <w:szCs w:val="22"/>
        </w:rPr>
      </w:pPr>
      <w:r w:rsidRPr="000957AF">
        <w:rPr>
          <w:rFonts w:ascii="Calibri" w:hAnsi="Calibri" w:cs="Calibri"/>
          <w:szCs w:val="22"/>
        </w:rPr>
        <w:t>ICH E2A: International Conference on Harmonisation</w:t>
      </w:r>
      <w:r w:rsidR="00821BA5">
        <w:rPr>
          <w:rFonts w:ascii="Calibri" w:hAnsi="Calibri" w:cs="Calibri"/>
          <w:szCs w:val="22"/>
        </w:rPr>
        <w:t xml:space="preserve"> - </w:t>
      </w:r>
      <w:r w:rsidRPr="000957AF">
        <w:rPr>
          <w:rFonts w:ascii="Calibri" w:hAnsi="Calibri" w:cs="Calibri"/>
          <w:szCs w:val="22"/>
        </w:rPr>
        <w:t>Tripartite Guideline:  Clinical Safety Data Management: Definitions and Standards for Expedited Reporting (1994)</w:t>
      </w:r>
    </w:p>
    <w:p w:rsidR="000957AF" w:rsidRPr="000957AF" w:rsidRDefault="000957AF" w:rsidP="000957AF">
      <w:pPr>
        <w:spacing w:after="180" w:line="240" w:lineRule="auto"/>
        <w:rPr>
          <w:rFonts w:ascii="Calibri" w:hAnsi="Calibri" w:cs="Calibri"/>
          <w:szCs w:val="22"/>
        </w:rPr>
      </w:pPr>
      <w:r w:rsidRPr="000957AF">
        <w:rPr>
          <w:rFonts w:ascii="Calibri" w:hAnsi="Calibri" w:cs="Calibri"/>
          <w:szCs w:val="22"/>
        </w:rPr>
        <w:t xml:space="preserve">ICH E6 </w:t>
      </w:r>
      <w:r w:rsidR="00C2173F">
        <w:rPr>
          <w:rFonts w:ascii="Calibri" w:hAnsi="Calibri" w:cs="Calibri"/>
          <w:szCs w:val="22"/>
        </w:rPr>
        <w:t>(R2)</w:t>
      </w:r>
      <w:r w:rsidRPr="000957AF">
        <w:rPr>
          <w:rFonts w:ascii="Calibri" w:hAnsi="Calibri" w:cs="Calibri"/>
          <w:szCs w:val="22"/>
        </w:rPr>
        <w:t xml:space="preserve">: International </w:t>
      </w:r>
      <w:r w:rsidR="00A66A8A">
        <w:rPr>
          <w:rFonts w:ascii="Calibri" w:hAnsi="Calibri" w:cs="Calibri"/>
          <w:szCs w:val="22"/>
        </w:rPr>
        <w:t xml:space="preserve">Council for </w:t>
      </w:r>
      <w:r w:rsidRPr="000957AF">
        <w:rPr>
          <w:rFonts w:ascii="Calibri" w:hAnsi="Calibri" w:cs="Calibri"/>
          <w:szCs w:val="22"/>
        </w:rPr>
        <w:t>Harmonisation</w:t>
      </w:r>
      <w:r w:rsidR="00821BA5">
        <w:rPr>
          <w:rFonts w:ascii="Calibri" w:hAnsi="Calibri" w:cs="Calibri"/>
          <w:szCs w:val="22"/>
        </w:rPr>
        <w:t xml:space="preserve"> -</w:t>
      </w:r>
      <w:r w:rsidRPr="000957AF">
        <w:rPr>
          <w:rFonts w:ascii="Calibri" w:hAnsi="Calibri" w:cs="Calibri"/>
          <w:szCs w:val="22"/>
        </w:rPr>
        <w:t xml:space="preserve"> </w:t>
      </w:r>
      <w:r w:rsidR="00A66A8A">
        <w:rPr>
          <w:rFonts w:ascii="Calibri" w:hAnsi="Calibri" w:cs="Calibri"/>
          <w:szCs w:val="22"/>
        </w:rPr>
        <w:t xml:space="preserve">Harmonised </w:t>
      </w:r>
      <w:r w:rsidRPr="000957AF">
        <w:rPr>
          <w:rFonts w:ascii="Calibri" w:hAnsi="Calibri" w:cs="Calibri"/>
          <w:szCs w:val="22"/>
        </w:rPr>
        <w:t>Guideline:  Guideline for Good Clinical Practice (</w:t>
      </w:r>
      <w:r w:rsidR="00C2173F">
        <w:rPr>
          <w:rFonts w:ascii="Calibri" w:hAnsi="Calibri" w:cs="Calibri"/>
          <w:szCs w:val="22"/>
        </w:rPr>
        <w:t>2016</w:t>
      </w:r>
      <w:r w:rsidR="001669F0">
        <w:rPr>
          <w:rFonts w:ascii="Calibri" w:hAnsi="Calibri" w:cs="Calibri"/>
          <w:szCs w:val="22"/>
        </w:rPr>
        <w:t>; reflects ICH name change</w:t>
      </w:r>
      <w:r w:rsidRPr="000957AF">
        <w:rPr>
          <w:rFonts w:ascii="Calibri" w:hAnsi="Calibri" w:cs="Calibri"/>
          <w:szCs w:val="22"/>
        </w:rPr>
        <w:t>)</w:t>
      </w:r>
    </w:p>
    <w:p w:rsidR="000957AF" w:rsidRPr="000957AF" w:rsidRDefault="000957AF" w:rsidP="000957AF">
      <w:pPr>
        <w:spacing w:after="180" w:line="240" w:lineRule="auto"/>
        <w:rPr>
          <w:rFonts w:ascii="Calibri" w:hAnsi="Calibri" w:cs="Calibri"/>
          <w:szCs w:val="22"/>
        </w:rPr>
      </w:pPr>
      <w:r w:rsidRPr="000957AF">
        <w:rPr>
          <w:rFonts w:ascii="Calibri" w:hAnsi="Calibri" w:cs="Calibri"/>
          <w:szCs w:val="22"/>
        </w:rPr>
        <w:t>Office</w:t>
      </w:r>
      <w:r w:rsidR="00C2173F">
        <w:rPr>
          <w:rFonts w:ascii="Calibri" w:hAnsi="Calibri" w:cs="Calibri"/>
          <w:szCs w:val="22"/>
        </w:rPr>
        <w:t xml:space="preserve"> for </w:t>
      </w:r>
      <w:r w:rsidRPr="000957AF">
        <w:rPr>
          <w:rFonts w:ascii="Calibri" w:hAnsi="Calibri" w:cs="Calibri"/>
          <w:szCs w:val="22"/>
        </w:rPr>
        <w:t xml:space="preserve">Human </w:t>
      </w:r>
      <w:r w:rsidRPr="000020BF">
        <w:rPr>
          <w:rFonts w:ascii="Calibri" w:hAnsi="Calibri" w:cs="Calibri"/>
          <w:szCs w:val="22"/>
        </w:rPr>
        <w:t>Subjects</w:t>
      </w:r>
      <w:r w:rsidRPr="000957AF">
        <w:rPr>
          <w:rFonts w:ascii="Calibri" w:hAnsi="Calibri" w:cs="Calibri"/>
          <w:szCs w:val="22"/>
        </w:rPr>
        <w:t xml:space="preserve"> Protection, Division of Department of Health and Human Services Policy; “</w:t>
      </w:r>
      <w:hyperlink r:id="rId10" w:history="1">
        <w:r w:rsidRPr="000957AF">
          <w:rPr>
            <w:rFonts w:ascii="Calibri" w:hAnsi="Calibri" w:cs="Calibri"/>
            <w:color w:val="0000FF"/>
            <w:szCs w:val="22"/>
            <w:u w:val="single"/>
          </w:rPr>
          <w:t xml:space="preserve"> Unanticipated Problems Involving Risks and Adverse Events</w:t>
        </w:r>
      </w:hyperlink>
      <w:r w:rsidR="00A4146D">
        <w:rPr>
          <w:rFonts w:ascii="Calibri" w:hAnsi="Calibri" w:cs="Calibri"/>
          <w:color w:val="0000FF"/>
          <w:szCs w:val="22"/>
          <w:u w:val="single"/>
        </w:rPr>
        <w:t xml:space="preserve"> Guidance</w:t>
      </w:r>
      <w:r w:rsidRPr="000957AF">
        <w:rPr>
          <w:rFonts w:ascii="Calibri" w:hAnsi="Calibri" w:cs="Calibri"/>
          <w:szCs w:val="22"/>
        </w:rPr>
        <w:t xml:space="preserve">" (2007) </w:t>
      </w:r>
    </w:p>
    <w:p w:rsidR="000957AF" w:rsidRPr="000957AF" w:rsidRDefault="000957AF" w:rsidP="000957AF">
      <w:pPr>
        <w:spacing w:line="240" w:lineRule="auto"/>
        <w:rPr>
          <w:rFonts w:ascii="Calibri" w:hAnsi="Calibri"/>
          <w:szCs w:val="22"/>
        </w:rPr>
      </w:pPr>
      <w:r w:rsidRPr="000957AF">
        <w:rPr>
          <w:rFonts w:ascii="Calibri" w:hAnsi="Calibri" w:cs="Calibri"/>
          <w:szCs w:val="22"/>
        </w:rPr>
        <w:t xml:space="preserve">Code of Federal Regulations Title 21, Part 312.32 </w:t>
      </w:r>
      <w:r w:rsidR="00C2173F">
        <w:rPr>
          <w:rFonts w:ascii="Calibri" w:hAnsi="Calibri" w:cs="Calibri"/>
          <w:szCs w:val="22"/>
        </w:rPr>
        <w:t>(2016)</w:t>
      </w:r>
    </w:p>
    <w:p w:rsidR="000957AF" w:rsidRPr="000957AF" w:rsidRDefault="000957AF" w:rsidP="000957AF">
      <w:pPr>
        <w:spacing w:after="120" w:line="240" w:lineRule="auto"/>
        <w:jc w:val="both"/>
        <w:rPr>
          <w:rFonts w:ascii="Calibri" w:hAnsi="Calibri"/>
          <w:szCs w:val="22"/>
        </w:rPr>
      </w:pPr>
    </w:p>
    <w:p w:rsidR="000957AF" w:rsidRPr="000957AF" w:rsidRDefault="000957AF" w:rsidP="000957AF">
      <w:pPr>
        <w:spacing w:before="120" w:after="60"/>
        <w:rPr>
          <w:rFonts w:ascii="Calibri" w:hAnsi="Calibri"/>
          <w:b/>
          <w:u w:val="single"/>
        </w:rPr>
      </w:pPr>
      <w:r w:rsidRPr="000957AF">
        <w:rPr>
          <w:rFonts w:ascii="Calibri" w:hAnsi="Calibri"/>
          <w:b/>
          <w:u w:val="single"/>
        </w:rPr>
        <w:t>Tool Revision History: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1260"/>
        <w:gridCol w:w="7308"/>
      </w:tblGrid>
      <w:tr w:rsidR="000957AF" w:rsidRPr="000957AF" w:rsidTr="007F5EF7">
        <w:tc>
          <w:tcPr>
            <w:tcW w:w="1008" w:type="dxa"/>
          </w:tcPr>
          <w:p w:rsidR="000957AF" w:rsidRPr="000957AF" w:rsidRDefault="002D3C41" w:rsidP="000957AF">
            <w:pPr>
              <w:spacing w:after="60"/>
              <w:rPr>
                <w:rFonts w:ascii="Calibri" w:hAnsi="Calibri"/>
                <w:b/>
              </w:rPr>
            </w:pPr>
            <w:r>
              <w:rPr>
                <w:rFonts w:ascii="Calibri" w:hAnsi="Calibri"/>
                <w:b/>
              </w:rPr>
              <w:t xml:space="preserve">Version </w:t>
            </w:r>
            <w:r w:rsidR="000957AF" w:rsidRPr="000957AF">
              <w:rPr>
                <w:rFonts w:ascii="Calibri" w:hAnsi="Calibri"/>
                <w:b/>
              </w:rPr>
              <w:t>Number</w:t>
            </w:r>
          </w:p>
        </w:tc>
        <w:tc>
          <w:tcPr>
            <w:tcW w:w="1260" w:type="dxa"/>
          </w:tcPr>
          <w:p w:rsidR="000957AF" w:rsidRPr="000957AF" w:rsidRDefault="002D3C41" w:rsidP="000957AF">
            <w:pPr>
              <w:spacing w:after="60"/>
              <w:rPr>
                <w:rFonts w:ascii="Calibri" w:hAnsi="Calibri"/>
                <w:b/>
              </w:rPr>
            </w:pPr>
            <w:r>
              <w:rPr>
                <w:rFonts w:ascii="Calibri" w:hAnsi="Calibri"/>
                <w:b/>
              </w:rPr>
              <w:t xml:space="preserve">Version </w:t>
            </w:r>
            <w:r w:rsidR="000957AF" w:rsidRPr="000957AF">
              <w:rPr>
                <w:rFonts w:ascii="Calibri" w:hAnsi="Calibri"/>
                <w:b/>
              </w:rPr>
              <w:t>Date</w:t>
            </w:r>
          </w:p>
        </w:tc>
        <w:tc>
          <w:tcPr>
            <w:tcW w:w="7308" w:type="dxa"/>
          </w:tcPr>
          <w:p w:rsidR="000957AF" w:rsidRPr="000957AF" w:rsidRDefault="000957AF" w:rsidP="000957AF">
            <w:pPr>
              <w:spacing w:after="60"/>
              <w:rPr>
                <w:rFonts w:ascii="Calibri" w:hAnsi="Calibri"/>
                <w:b/>
              </w:rPr>
            </w:pPr>
            <w:r w:rsidRPr="000957AF">
              <w:rPr>
                <w:rFonts w:ascii="Calibri" w:hAnsi="Calibri"/>
                <w:b/>
              </w:rPr>
              <w:t>Summary of Revisions Made:</w:t>
            </w:r>
          </w:p>
        </w:tc>
      </w:tr>
      <w:tr w:rsidR="000957AF" w:rsidRPr="000957AF" w:rsidTr="007F5EF7">
        <w:tc>
          <w:tcPr>
            <w:tcW w:w="1008" w:type="dxa"/>
          </w:tcPr>
          <w:p w:rsidR="000957AF" w:rsidRPr="000957AF" w:rsidRDefault="000957AF" w:rsidP="000957AF">
            <w:pPr>
              <w:spacing w:after="120" w:line="240" w:lineRule="auto"/>
              <w:rPr>
                <w:rFonts w:ascii="Calibri" w:hAnsi="Calibri" w:cs="Calibri"/>
                <w:szCs w:val="22"/>
              </w:rPr>
            </w:pPr>
            <w:r w:rsidRPr="000957AF">
              <w:rPr>
                <w:rFonts w:ascii="Calibri" w:hAnsi="Calibri" w:cs="Calibri"/>
                <w:szCs w:val="22"/>
              </w:rPr>
              <w:t>1.0</w:t>
            </w:r>
          </w:p>
        </w:tc>
        <w:tc>
          <w:tcPr>
            <w:tcW w:w="1260" w:type="dxa"/>
          </w:tcPr>
          <w:p w:rsidR="000957AF" w:rsidRPr="000957AF" w:rsidRDefault="000957AF" w:rsidP="000957AF">
            <w:pPr>
              <w:spacing w:after="120" w:line="240" w:lineRule="auto"/>
              <w:rPr>
                <w:rFonts w:ascii="Calibri" w:hAnsi="Calibri" w:cs="Calibri"/>
                <w:szCs w:val="22"/>
              </w:rPr>
            </w:pPr>
            <w:r w:rsidRPr="000957AF">
              <w:rPr>
                <w:rFonts w:ascii="Calibri" w:hAnsi="Calibri" w:cs="Calibri"/>
                <w:szCs w:val="22"/>
              </w:rPr>
              <w:t>26Apr2010</w:t>
            </w:r>
          </w:p>
        </w:tc>
        <w:tc>
          <w:tcPr>
            <w:tcW w:w="7308" w:type="dxa"/>
          </w:tcPr>
          <w:p w:rsidR="000957AF" w:rsidRPr="000957AF" w:rsidRDefault="000957AF" w:rsidP="000957AF">
            <w:pPr>
              <w:spacing w:after="120" w:line="240" w:lineRule="auto"/>
              <w:rPr>
                <w:rFonts w:ascii="Calibri" w:hAnsi="Calibri" w:cs="Calibri"/>
                <w:szCs w:val="22"/>
              </w:rPr>
            </w:pPr>
            <w:r w:rsidRPr="000957AF">
              <w:rPr>
                <w:rFonts w:ascii="Calibri" w:hAnsi="Calibri" w:cs="Calibri"/>
                <w:szCs w:val="22"/>
              </w:rPr>
              <w:t>First approved version</w:t>
            </w:r>
          </w:p>
        </w:tc>
      </w:tr>
      <w:tr w:rsidR="000957AF" w:rsidRPr="000957AF" w:rsidTr="007F5EF7">
        <w:tc>
          <w:tcPr>
            <w:tcW w:w="1008" w:type="dxa"/>
          </w:tcPr>
          <w:p w:rsidR="000957AF" w:rsidRPr="000957AF" w:rsidRDefault="000957AF" w:rsidP="000957AF">
            <w:pPr>
              <w:spacing w:after="120" w:line="240" w:lineRule="auto"/>
              <w:rPr>
                <w:rFonts w:ascii="Calibri" w:hAnsi="Calibri" w:cs="Calibri"/>
                <w:szCs w:val="22"/>
              </w:rPr>
            </w:pPr>
            <w:r w:rsidRPr="000957AF">
              <w:rPr>
                <w:rFonts w:ascii="Calibri" w:hAnsi="Calibri" w:cs="Calibri"/>
                <w:szCs w:val="22"/>
              </w:rPr>
              <w:t>2.0</w:t>
            </w:r>
          </w:p>
        </w:tc>
        <w:tc>
          <w:tcPr>
            <w:tcW w:w="1260" w:type="dxa"/>
          </w:tcPr>
          <w:p w:rsidR="000957AF" w:rsidRPr="000957AF" w:rsidRDefault="000957AF" w:rsidP="000957AF">
            <w:pPr>
              <w:spacing w:after="120" w:line="240" w:lineRule="auto"/>
              <w:rPr>
                <w:rFonts w:ascii="Calibri" w:hAnsi="Calibri" w:cs="Calibri"/>
                <w:szCs w:val="22"/>
              </w:rPr>
            </w:pPr>
            <w:r w:rsidRPr="000957AF">
              <w:rPr>
                <w:rFonts w:ascii="Calibri" w:hAnsi="Calibri" w:cs="Calibri"/>
                <w:szCs w:val="22"/>
              </w:rPr>
              <w:t>28Mar2013</w:t>
            </w:r>
          </w:p>
        </w:tc>
        <w:tc>
          <w:tcPr>
            <w:tcW w:w="7308" w:type="dxa"/>
          </w:tcPr>
          <w:p w:rsidR="000957AF" w:rsidRPr="000957AF" w:rsidRDefault="000957AF" w:rsidP="000957AF">
            <w:pPr>
              <w:spacing w:after="120" w:line="240" w:lineRule="auto"/>
              <w:rPr>
                <w:rFonts w:ascii="Calibri" w:hAnsi="Calibri" w:cs="Calibri"/>
                <w:szCs w:val="22"/>
              </w:rPr>
            </w:pPr>
            <w:r w:rsidRPr="000957AF">
              <w:rPr>
                <w:rFonts w:ascii="Calibri" w:hAnsi="Calibri" w:cs="Calibri"/>
                <w:szCs w:val="22"/>
              </w:rPr>
              <w:t>Added Tool Summary Sheet, unanticipated problems, references, and details</w:t>
            </w:r>
          </w:p>
        </w:tc>
      </w:tr>
      <w:tr w:rsidR="00F40F93" w:rsidRPr="000957AF" w:rsidTr="007F5EF7">
        <w:tc>
          <w:tcPr>
            <w:tcW w:w="1008" w:type="dxa"/>
          </w:tcPr>
          <w:p w:rsidR="00F40F93" w:rsidRDefault="00CA4EB1" w:rsidP="000957AF">
            <w:pPr>
              <w:spacing w:after="120" w:line="240" w:lineRule="auto"/>
              <w:rPr>
                <w:rFonts w:ascii="Calibri" w:hAnsi="Calibri" w:cs="Calibri"/>
                <w:szCs w:val="22"/>
              </w:rPr>
            </w:pPr>
            <w:r>
              <w:rPr>
                <w:rFonts w:ascii="Calibri" w:hAnsi="Calibri" w:cs="Calibri"/>
                <w:szCs w:val="22"/>
              </w:rPr>
              <w:t>3.0</w:t>
            </w:r>
          </w:p>
        </w:tc>
        <w:tc>
          <w:tcPr>
            <w:tcW w:w="1260" w:type="dxa"/>
          </w:tcPr>
          <w:p w:rsidR="00F40F93" w:rsidRDefault="00CA4EB1" w:rsidP="000957AF">
            <w:pPr>
              <w:spacing w:after="120" w:line="240" w:lineRule="auto"/>
              <w:rPr>
                <w:rFonts w:ascii="Calibri" w:hAnsi="Calibri" w:cs="Calibri"/>
                <w:szCs w:val="22"/>
              </w:rPr>
            </w:pPr>
            <w:r>
              <w:rPr>
                <w:rFonts w:ascii="Calibri" w:hAnsi="Calibri" w:cs="Calibri"/>
                <w:szCs w:val="22"/>
              </w:rPr>
              <w:t>01Nov</w:t>
            </w:r>
            <w:r w:rsidR="00F40F93">
              <w:rPr>
                <w:rFonts w:ascii="Calibri" w:hAnsi="Calibri" w:cs="Calibri"/>
                <w:szCs w:val="22"/>
              </w:rPr>
              <w:t>2017</w:t>
            </w:r>
          </w:p>
        </w:tc>
        <w:tc>
          <w:tcPr>
            <w:tcW w:w="7308" w:type="dxa"/>
          </w:tcPr>
          <w:p w:rsidR="00F40F93" w:rsidRDefault="00CA4EB1" w:rsidP="00066907">
            <w:pPr>
              <w:spacing w:after="120" w:line="240" w:lineRule="auto"/>
              <w:rPr>
                <w:rFonts w:ascii="Calibri" w:hAnsi="Calibri" w:cs="Calibri"/>
                <w:szCs w:val="22"/>
              </w:rPr>
            </w:pPr>
            <w:r>
              <w:rPr>
                <w:rFonts w:ascii="Calibri" w:hAnsi="Calibri" w:cs="Calibri"/>
                <w:szCs w:val="22"/>
              </w:rPr>
              <w:t>Updated Tool Summary Sheet</w:t>
            </w:r>
            <w:r w:rsidR="00066907">
              <w:rPr>
                <w:rFonts w:ascii="Calibri" w:hAnsi="Calibri" w:cs="Calibri"/>
                <w:szCs w:val="22"/>
              </w:rPr>
              <w:t>,</w:t>
            </w:r>
            <w:r>
              <w:rPr>
                <w:rFonts w:ascii="Calibri" w:hAnsi="Calibri" w:cs="Calibri"/>
                <w:szCs w:val="22"/>
              </w:rPr>
              <w:t xml:space="preserve"> content</w:t>
            </w:r>
            <w:r w:rsidR="00066907">
              <w:rPr>
                <w:rFonts w:ascii="Calibri" w:hAnsi="Calibri" w:cs="Calibri"/>
                <w:szCs w:val="22"/>
              </w:rPr>
              <w:t>, and references</w:t>
            </w:r>
            <w:r>
              <w:rPr>
                <w:rFonts w:ascii="Calibri" w:hAnsi="Calibri" w:cs="Calibri"/>
                <w:szCs w:val="22"/>
              </w:rPr>
              <w:t xml:space="preserve"> to reflect ICH E6 (R2)</w:t>
            </w:r>
            <w:r w:rsidR="00066907">
              <w:rPr>
                <w:rFonts w:ascii="Calibri" w:hAnsi="Calibri" w:cs="Calibri"/>
                <w:szCs w:val="22"/>
              </w:rPr>
              <w:t xml:space="preserve"> dated</w:t>
            </w:r>
            <w:r>
              <w:rPr>
                <w:rFonts w:ascii="Calibri" w:hAnsi="Calibri" w:cs="Calibri"/>
                <w:szCs w:val="22"/>
              </w:rPr>
              <w:t xml:space="preserve"> Nov2016</w:t>
            </w:r>
          </w:p>
        </w:tc>
      </w:tr>
    </w:tbl>
    <w:p w:rsidR="00480C55" w:rsidRPr="006633E3" w:rsidRDefault="00F430CA" w:rsidP="00800D4C">
      <w:pPr>
        <w:pStyle w:val="Title"/>
        <w:rPr>
          <w:b/>
          <w:u w:val="single"/>
        </w:rPr>
      </w:pPr>
      <w:r w:rsidRPr="000F4D02">
        <w:rPr>
          <w:rFonts w:cs="Arial"/>
        </w:rPr>
        <w:br w:type="page"/>
      </w:r>
      <w:r w:rsidR="00CD3131" w:rsidRPr="006633E3">
        <w:rPr>
          <w:b/>
          <w:u w:val="single"/>
        </w:rPr>
        <w:lastRenderedPageBreak/>
        <w:t>SAFETY DEFINITIONS FOR CLINICAL RESEARCH</w:t>
      </w:r>
    </w:p>
    <w:p w:rsidR="00676116" w:rsidRPr="000F4D02" w:rsidRDefault="00F430CA" w:rsidP="006633E3">
      <w:pPr>
        <w:pStyle w:val="Heading1"/>
        <w:rPr>
          <w:rFonts w:eastAsia="Calibri"/>
        </w:rPr>
      </w:pPr>
      <w:r w:rsidRPr="000F4D02">
        <w:rPr>
          <w:rFonts w:eastAsia="Calibri"/>
        </w:rPr>
        <w:t>Unanticipated Problems</w:t>
      </w:r>
    </w:p>
    <w:p w:rsidR="00F430CA" w:rsidRPr="000F4D02" w:rsidRDefault="00F430CA" w:rsidP="00F430CA">
      <w:pPr>
        <w:pStyle w:val="CROMSText"/>
        <w:rPr>
          <w:rFonts w:cs="Arial"/>
          <w:szCs w:val="24"/>
        </w:rPr>
      </w:pPr>
      <w:r w:rsidRPr="000F4D02">
        <w:rPr>
          <w:rFonts w:cs="Arial"/>
          <w:szCs w:val="24"/>
        </w:rPr>
        <w:t xml:space="preserve">The Office for Human Research Protections (OHRP) considers unanticipated problems involving risks to </w:t>
      </w:r>
      <w:r w:rsidRPr="000020BF">
        <w:rPr>
          <w:rFonts w:cs="Arial"/>
          <w:szCs w:val="24"/>
        </w:rPr>
        <w:t>subjects</w:t>
      </w:r>
      <w:r w:rsidRPr="000F4D02">
        <w:rPr>
          <w:rFonts w:cs="Arial"/>
          <w:szCs w:val="24"/>
        </w:rPr>
        <w:t xml:space="preserve"> or others to include, in general, any incident, experience, or outcome that meets </w:t>
      </w:r>
      <w:r w:rsidRPr="000F4D02">
        <w:rPr>
          <w:rFonts w:cs="Arial"/>
          <w:b/>
          <w:szCs w:val="24"/>
        </w:rPr>
        <w:t>all</w:t>
      </w:r>
      <w:r w:rsidRPr="000F4D02">
        <w:rPr>
          <w:rFonts w:cs="Arial"/>
          <w:szCs w:val="24"/>
        </w:rPr>
        <w:t xml:space="preserve"> of the following criteria:</w:t>
      </w:r>
    </w:p>
    <w:p w:rsidR="00F430CA" w:rsidRPr="000F4D02" w:rsidRDefault="00F430CA" w:rsidP="0073625E">
      <w:pPr>
        <w:pStyle w:val="CROMSTextBullet"/>
        <w:numPr>
          <w:ilvl w:val="0"/>
          <w:numId w:val="24"/>
        </w:numPr>
        <w:rPr>
          <w:rFonts w:cs="Arial"/>
        </w:rPr>
      </w:pPr>
      <w:r w:rsidRPr="000F4D02">
        <w:rPr>
          <w:rFonts w:cs="Arial"/>
        </w:rPr>
        <w:t xml:space="preserve">unexpected </w:t>
      </w:r>
      <w:r w:rsidR="00C20447">
        <w:rPr>
          <w:rFonts w:cs="Arial"/>
        </w:rPr>
        <w:t>(</w:t>
      </w:r>
      <w:r w:rsidRPr="000F4D02">
        <w:rPr>
          <w:rFonts w:cs="Arial"/>
        </w:rPr>
        <w:t>in terms of nature, severity, or frequency</w:t>
      </w:r>
      <w:r w:rsidR="00C20447">
        <w:rPr>
          <w:rFonts w:cs="Arial"/>
        </w:rPr>
        <w:t>)</w:t>
      </w:r>
      <w:r w:rsidRPr="000F4D02">
        <w:rPr>
          <w:rFonts w:cs="Arial"/>
        </w:rPr>
        <w:t xml:space="preserve"> given (a) the research procedures that are described in the protocol-related documents, such as the IRB-approved research protocol and informed consent document; and (b) the characteristics of the </w:t>
      </w:r>
      <w:r w:rsidRPr="000020BF">
        <w:rPr>
          <w:rFonts w:cs="Arial"/>
        </w:rPr>
        <w:t>subject</w:t>
      </w:r>
      <w:r w:rsidRPr="000F4D02">
        <w:rPr>
          <w:rFonts w:cs="Arial"/>
        </w:rPr>
        <w:t xml:space="preserve"> population being studied;</w:t>
      </w:r>
    </w:p>
    <w:p w:rsidR="00F430CA" w:rsidRPr="000F4D02" w:rsidRDefault="00F430CA" w:rsidP="0073625E">
      <w:pPr>
        <w:pStyle w:val="CROMSTextBullet"/>
        <w:numPr>
          <w:ilvl w:val="0"/>
          <w:numId w:val="24"/>
        </w:numPr>
        <w:rPr>
          <w:rFonts w:cs="Arial"/>
        </w:rPr>
      </w:pPr>
      <w:r w:rsidRPr="000F4D02">
        <w:rPr>
          <w:rFonts w:cs="Arial"/>
        </w:rPr>
        <w:t>related or possibly related to participation in the research (possibly related means there is a reasonable possibility that the incident, experience, or outcome may have been caused by the procedures involved in the research); and</w:t>
      </w:r>
    </w:p>
    <w:p w:rsidR="00F430CA" w:rsidRPr="000F4D02" w:rsidRDefault="00F430CA" w:rsidP="0073625E">
      <w:pPr>
        <w:pStyle w:val="CROMSTextBullet"/>
        <w:numPr>
          <w:ilvl w:val="0"/>
          <w:numId w:val="24"/>
        </w:numPr>
        <w:rPr>
          <w:rFonts w:cs="Arial"/>
        </w:rPr>
      </w:pPr>
      <w:r w:rsidRPr="000F4D02">
        <w:rPr>
          <w:rFonts w:cs="Arial"/>
        </w:rPr>
        <w:t xml:space="preserve">suggests that the research places </w:t>
      </w:r>
      <w:r w:rsidRPr="000020BF">
        <w:rPr>
          <w:rFonts w:cs="Arial"/>
        </w:rPr>
        <w:t xml:space="preserve">subjects </w:t>
      </w:r>
      <w:r w:rsidRPr="000F4D02">
        <w:rPr>
          <w:rFonts w:cs="Arial"/>
        </w:rPr>
        <w:t>or others at a greater risk of harm (including physical, psychological, economic, or social harm) than was previously known or recognized.</w:t>
      </w:r>
    </w:p>
    <w:p w:rsidR="00F430CA" w:rsidRPr="000F4D02" w:rsidRDefault="00F430CA" w:rsidP="00F430CA">
      <w:pPr>
        <w:pStyle w:val="CROMSInstruction"/>
        <w:rPr>
          <w:rFonts w:cs="Arial"/>
          <w:szCs w:val="24"/>
        </w:rPr>
      </w:pPr>
      <w:r w:rsidRPr="000F4D02">
        <w:rPr>
          <w:rFonts w:cs="Arial"/>
          <w:szCs w:val="24"/>
        </w:rPr>
        <w:t xml:space="preserve">{Per the definition, only a subset of adverse events would be characterized as unanticipated problems. There are other types of incidents, experiences and outcomes that are not considered adverse events, but are characterized as unanticipated problems (e.g., breach of confidentiality or other incidents involving social or economic harm).} </w:t>
      </w:r>
    </w:p>
    <w:p w:rsidR="005B53B3" w:rsidRDefault="005B53B3" w:rsidP="006633E3">
      <w:pPr>
        <w:pStyle w:val="Heading1"/>
      </w:pPr>
      <w:r w:rsidRPr="000F4D02">
        <w:t xml:space="preserve">Adverse Events </w:t>
      </w:r>
    </w:p>
    <w:p w:rsidR="00D967F0" w:rsidRPr="00FE07B3" w:rsidRDefault="00D967F0" w:rsidP="007A573E">
      <w:pPr>
        <w:pStyle w:val="Heading2"/>
        <w:ind w:left="720" w:hanging="720"/>
      </w:pPr>
      <w:r w:rsidRPr="00FE07B3">
        <w:t>Definitions</w:t>
      </w:r>
    </w:p>
    <w:p w:rsidR="003A3A0A" w:rsidRPr="007C2E27" w:rsidRDefault="003A3A0A" w:rsidP="007C2E27">
      <w:pPr>
        <w:numPr>
          <w:ilvl w:val="0"/>
          <w:numId w:val="8"/>
        </w:numPr>
        <w:spacing w:after="120"/>
        <w:rPr>
          <w:rFonts w:cs="Arial"/>
          <w:sz w:val="24"/>
          <w:szCs w:val="24"/>
        </w:rPr>
      </w:pPr>
      <w:r w:rsidRPr="002A7434">
        <w:rPr>
          <w:rFonts w:cs="Arial"/>
          <w:iCs/>
          <w:sz w:val="24"/>
          <w:szCs w:val="24"/>
        </w:rPr>
        <w:t xml:space="preserve">Any untoward medical occurrence in a patient or clinical investigation </w:t>
      </w:r>
      <w:r w:rsidRPr="000020BF">
        <w:rPr>
          <w:rFonts w:cs="Arial"/>
          <w:iCs/>
          <w:sz w:val="24"/>
          <w:szCs w:val="24"/>
        </w:rPr>
        <w:t xml:space="preserve">subject </w:t>
      </w:r>
      <w:r w:rsidRPr="002A7434">
        <w:rPr>
          <w:rFonts w:cs="Arial"/>
          <w:iCs/>
          <w:sz w:val="24"/>
          <w:szCs w:val="24"/>
        </w:rPr>
        <w:t>administered a pharmaceutical product and which does not necessarily have to have a causal relationship with this treatment.</w:t>
      </w:r>
      <w:r w:rsidRPr="000F4D02">
        <w:rPr>
          <w:rFonts w:cs="Arial"/>
          <w:i/>
          <w:iCs/>
          <w:sz w:val="24"/>
          <w:szCs w:val="24"/>
        </w:rPr>
        <w:t xml:space="preserve"> </w:t>
      </w:r>
      <w:r w:rsidR="000F4D02" w:rsidRPr="000F4D02">
        <w:rPr>
          <w:rFonts w:cs="Arial"/>
          <w:i/>
          <w:iCs/>
          <w:sz w:val="24"/>
          <w:szCs w:val="24"/>
        </w:rPr>
        <w:t xml:space="preserve"> </w:t>
      </w:r>
      <w:r w:rsidRPr="000F4D02">
        <w:rPr>
          <w:rFonts w:cs="Arial"/>
          <w:sz w:val="24"/>
          <w:szCs w:val="24"/>
        </w:rPr>
        <w:t xml:space="preserve">An adverse event (AE) can therefore be any unfavorable and unintended sign (including an abnormal laboratory finding, for example), symptom, or disease temporally associated with the use of a medicinal </w:t>
      </w:r>
      <w:r w:rsidR="003F5FBF" w:rsidRPr="000F4D02">
        <w:rPr>
          <w:rFonts w:cs="Arial"/>
          <w:sz w:val="24"/>
          <w:szCs w:val="24"/>
        </w:rPr>
        <w:t xml:space="preserve">(investigational) </w:t>
      </w:r>
      <w:r w:rsidRPr="000F4D02">
        <w:rPr>
          <w:rFonts w:cs="Arial"/>
          <w:sz w:val="24"/>
          <w:szCs w:val="24"/>
        </w:rPr>
        <w:t xml:space="preserve">product, whether or not considered related to the medicinal </w:t>
      </w:r>
      <w:r w:rsidR="003F5FBF" w:rsidRPr="000F4D02">
        <w:rPr>
          <w:rFonts w:cs="Arial"/>
          <w:sz w:val="24"/>
          <w:szCs w:val="24"/>
        </w:rPr>
        <w:t xml:space="preserve">(investigational) </w:t>
      </w:r>
      <w:r w:rsidRPr="000F4D02">
        <w:rPr>
          <w:rFonts w:cs="Arial"/>
          <w:sz w:val="24"/>
          <w:szCs w:val="24"/>
        </w:rPr>
        <w:t>product</w:t>
      </w:r>
      <w:r w:rsidRPr="007C2E27">
        <w:rPr>
          <w:rFonts w:cs="Arial"/>
          <w:sz w:val="24"/>
          <w:szCs w:val="24"/>
        </w:rPr>
        <w:t>.</w:t>
      </w:r>
      <w:r w:rsidR="003E7C5F" w:rsidRPr="007C2E27">
        <w:rPr>
          <w:rFonts w:cs="Arial"/>
          <w:sz w:val="24"/>
          <w:szCs w:val="24"/>
        </w:rPr>
        <w:t xml:space="preserve">  [From ICH </w:t>
      </w:r>
      <w:r w:rsidR="008E0F84" w:rsidRPr="007C2E27">
        <w:rPr>
          <w:rFonts w:cs="Arial"/>
          <w:sz w:val="24"/>
          <w:szCs w:val="24"/>
        </w:rPr>
        <w:t>E2A and E6</w:t>
      </w:r>
      <w:r w:rsidR="00D967F0" w:rsidRPr="007C2E27">
        <w:rPr>
          <w:rFonts w:cs="Arial"/>
          <w:sz w:val="24"/>
          <w:szCs w:val="24"/>
        </w:rPr>
        <w:t>, “investigational” term only in E6</w:t>
      </w:r>
      <w:r w:rsidR="007B16F4" w:rsidRPr="007C2E27">
        <w:rPr>
          <w:rFonts w:cs="Arial"/>
          <w:sz w:val="24"/>
          <w:szCs w:val="24"/>
        </w:rPr>
        <w:t>]</w:t>
      </w:r>
    </w:p>
    <w:p w:rsidR="00A26EFD" w:rsidRPr="00624FAA" w:rsidRDefault="00A26EFD" w:rsidP="00624FAA">
      <w:pPr>
        <w:numPr>
          <w:ilvl w:val="0"/>
          <w:numId w:val="8"/>
        </w:numPr>
        <w:spacing w:after="120"/>
        <w:rPr>
          <w:rFonts w:cs="Arial"/>
          <w:iCs/>
          <w:sz w:val="24"/>
          <w:szCs w:val="24"/>
        </w:rPr>
      </w:pPr>
      <w:r w:rsidRPr="00624FAA">
        <w:rPr>
          <w:rFonts w:cs="Arial"/>
          <w:iCs/>
          <w:sz w:val="24"/>
          <w:szCs w:val="24"/>
        </w:rPr>
        <w:t xml:space="preserve">An adverse event is any untoward or unfavorable medical occurrence in a human </w:t>
      </w:r>
      <w:r w:rsidRPr="000020BF">
        <w:rPr>
          <w:rFonts w:cs="Arial"/>
          <w:iCs/>
          <w:sz w:val="24"/>
          <w:szCs w:val="24"/>
        </w:rPr>
        <w:t>subject, including any abnormal sign (for example, abnormal physical exam or laboratory finding), symptom, or disease, temporally associated with the subject’s participation in the research, whether or not considered related to the subject’s</w:t>
      </w:r>
      <w:r w:rsidRPr="00624FAA">
        <w:rPr>
          <w:rFonts w:cs="Arial"/>
          <w:iCs/>
          <w:sz w:val="24"/>
          <w:szCs w:val="24"/>
        </w:rPr>
        <w:t xml:space="preserve"> participation in the research.</w:t>
      </w:r>
      <w:r w:rsidR="007B16F4" w:rsidRPr="00624FAA">
        <w:rPr>
          <w:rFonts w:cs="Arial"/>
          <w:iCs/>
          <w:sz w:val="24"/>
          <w:szCs w:val="24"/>
        </w:rPr>
        <w:t xml:space="preserve">  [From </w:t>
      </w:r>
      <w:r w:rsidR="00A4146D">
        <w:rPr>
          <w:rFonts w:cs="Arial"/>
          <w:iCs/>
          <w:sz w:val="24"/>
          <w:szCs w:val="24"/>
        </w:rPr>
        <w:t>OHRP Guidance</w:t>
      </w:r>
      <w:r w:rsidR="007B16F4" w:rsidRPr="00624FAA">
        <w:rPr>
          <w:rFonts w:cs="Arial"/>
          <w:iCs/>
          <w:sz w:val="24"/>
          <w:szCs w:val="24"/>
        </w:rPr>
        <w:t>]</w:t>
      </w:r>
    </w:p>
    <w:p w:rsidR="00054BD4" w:rsidRPr="00BD330F" w:rsidRDefault="00054BD4" w:rsidP="00054BD4">
      <w:pPr>
        <w:pStyle w:val="NormalWeb"/>
        <w:numPr>
          <w:ilvl w:val="0"/>
          <w:numId w:val="8"/>
        </w:numPr>
        <w:rPr>
          <w:rFonts w:cs="Arial"/>
        </w:rPr>
      </w:pPr>
      <w:r w:rsidRPr="00BD330F">
        <w:rPr>
          <w:rFonts w:cs="Arial"/>
          <w:i/>
          <w:iCs/>
        </w:rPr>
        <w:t>Adverse event</w:t>
      </w:r>
      <w:r w:rsidRPr="00BD330F">
        <w:rPr>
          <w:rFonts w:cs="Arial"/>
        </w:rPr>
        <w:t xml:space="preserve"> means any untoward medical occurrence associated with the use of a drug in humans, whether or not considered drug related.</w:t>
      </w:r>
      <w:r w:rsidR="007B16F4">
        <w:rPr>
          <w:rFonts w:cs="Arial"/>
        </w:rPr>
        <w:t xml:space="preserve">  [From CFR 312.32]</w:t>
      </w:r>
    </w:p>
    <w:p w:rsidR="003A3A0A" w:rsidRPr="000F4D02" w:rsidRDefault="00D967F0" w:rsidP="007A573E">
      <w:pPr>
        <w:pStyle w:val="Heading2"/>
        <w:ind w:left="720" w:hanging="720"/>
      </w:pPr>
      <w:r>
        <w:t>Categories of Adverse Events</w:t>
      </w:r>
    </w:p>
    <w:p w:rsidR="006633E3" w:rsidRDefault="003A3A0A" w:rsidP="00624FAA">
      <w:pPr>
        <w:numPr>
          <w:ilvl w:val="0"/>
          <w:numId w:val="8"/>
        </w:numPr>
        <w:spacing w:after="120"/>
        <w:rPr>
          <w:rFonts w:cs="Arial"/>
          <w:sz w:val="24"/>
          <w:szCs w:val="24"/>
        </w:rPr>
      </w:pPr>
      <w:r w:rsidRPr="00632626">
        <w:rPr>
          <w:rFonts w:cs="Arial"/>
          <w:b/>
          <w:sz w:val="24"/>
          <w:szCs w:val="24"/>
        </w:rPr>
        <w:t>Adverse Drug Reaction</w:t>
      </w:r>
      <w:r w:rsidR="008B5DEB" w:rsidRPr="00632626">
        <w:rPr>
          <w:rFonts w:cs="Arial"/>
          <w:b/>
          <w:sz w:val="24"/>
          <w:szCs w:val="24"/>
        </w:rPr>
        <w:t>s</w:t>
      </w:r>
      <w:r w:rsidR="008B5DEB">
        <w:rPr>
          <w:rFonts w:cs="Arial"/>
          <w:sz w:val="24"/>
          <w:szCs w:val="24"/>
        </w:rPr>
        <w:br/>
      </w:r>
      <w:r w:rsidR="008B5DEB" w:rsidRPr="008B5DEB">
        <w:rPr>
          <w:rFonts w:cs="Arial"/>
          <w:sz w:val="24"/>
          <w:szCs w:val="24"/>
        </w:rPr>
        <w:t>In the pre-approval clinical experience with a new medicinal product or its new usages, particularly as the therapeutic dose(s) may not be established: all noxious and unintended responses to a medicinal product related to any dose should be considered adverse drug reactions. The phrase responses to a medicinal product means that a causal relationship between a medicinal product and an adverse event is at least a reasonable possibility, i.e.</w:t>
      </w:r>
      <w:r w:rsidR="004F6208">
        <w:rPr>
          <w:rFonts w:cs="Arial"/>
          <w:sz w:val="24"/>
          <w:szCs w:val="24"/>
        </w:rPr>
        <w:t>,</w:t>
      </w:r>
      <w:r w:rsidR="008B5DEB" w:rsidRPr="008B5DEB">
        <w:rPr>
          <w:rFonts w:cs="Arial"/>
          <w:sz w:val="24"/>
          <w:szCs w:val="24"/>
        </w:rPr>
        <w:t xml:space="preserve"> the relationship cannot be ruled out. </w:t>
      </w:r>
    </w:p>
    <w:p w:rsidR="003A3A0A" w:rsidRPr="008B5DEB" w:rsidRDefault="008B5DEB" w:rsidP="006633E3">
      <w:pPr>
        <w:spacing w:after="120"/>
        <w:ind w:left="720"/>
        <w:rPr>
          <w:rFonts w:cs="Arial"/>
          <w:sz w:val="24"/>
          <w:szCs w:val="24"/>
        </w:rPr>
      </w:pPr>
      <w:r w:rsidRPr="008B5DEB">
        <w:rPr>
          <w:rFonts w:cs="Arial"/>
          <w:sz w:val="24"/>
          <w:szCs w:val="24"/>
        </w:rPr>
        <w:t xml:space="preserve">Regarding marketed medicinal products: a response to a drug which is noxious and unintended and which occurs at doses normally used in man for prophylaxis, diagnosis, or therapy of diseases or for modification of physiological function </w:t>
      </w:r>
      <w:r w:rsidRPr="00E31598">
        <w:rPr>
          <w:rFonts w:cs="Arial"/>
          <w:sz w:val="24"/>
          <w:szCs w:val="24"/>
        </w:rPr>
        <w:t>(see the ICH Guideline for Clinical Safety Data Management: Definitions and Standards for Expedited Reporting)</w:t>
      </w:r>
      <w:r w:rsidR="008E0F84">
        <w:rPr>
          <w:rFonts w:cs="Arial"/>
          <w:sz w:val="24"/>
          <w:szCs w:val="24"/>
        </w:rPr>
        <w:t>.  [From ICH E6</w:t>
      </w:r>
      <w:r w:rsidR="00C145D9">
        <w:rPr>
          <w:rFonts w:cs="Arial"/>
          <w:sz w:val="24"/>
          <w:szCs w:val="24"/>
        </w:rPr>
        <w:t>]</w:t>
      </w:r>
    </w:p>
    <w:p w:rsidR="00632626" w:rsidRDefault="00632626" w:rsidP="00624FAA">
      <w:pPr>
        <w:pStyle w:val="Default"/>
        <w:numPr>
          <w:ilvl w:val="0"/>
          <w:numId w:val="8"/>
        </w:numPr>
        <w:spacing w:after="120" w:line="274" w:lineRule="auto"/>
        <w:rPr>
          <w:rFonts w:ascii="Arial" w:hAnsi="Arial" w:cs="Arial"/>
          <w:color w:val="auto"/>
        </w:rPr>
      </w:pPr>
      <w:r w:rsidRPr="00632626">
        <w:rPr>
          <w:rFonts w:ascii="Arial" w:hAnsi="Arial" w:cs="Arial"/>
          <w:b/>
          <w:bCs/>
        </w:rPr>
        <w:t xml:space="preserve">Unexpected Adverse Drug Reaction </w:t>
      </w:r>
      <w:r w:rsidRPr="00632626">
        <w:rPr>
          <w:rFonts w:ascii="Arial" w:hAnsi="Arial" w:cs="Arial"/>
          <w:b/>
          <w:bCs/>
        </w:rPr>
        <w:br/>
      </w:r>
      <w:r w:rsidRPr="00632626">
        <w:rPr>
          <w:rFonts w:ascii="Arial" w:hAnsi="Arial" w:cs="Arial"/>
          <w:color w:val="auto"/>
        </w:rPr>
        <w:t>An adverse reaction, the nature or severity of which is not consistent with the applicable product information (e.g., Investigator's Brochure for an unapproved investigational product or package insert/summary of product characteristics for an approved product) (</w:t>
      </w:r>
      <w:r w:rsidRPr="00E31598">
        <w:rPr>
          <w:rFonts w:ascii="Arial" w:hAnsi="Arial" w:cs="Arial"/>
          <w:color w:val="auto"/>
        </w:rPr>
        <w:t>see the ICH Guideline for Clinical Safety Data Management: Definitions and Standards for Expedited Reporting</w:t>
      </w:r>
      <w:r w:rsidRPr="00632626">
        <w:rPr>
          <w:rFonts w:ascii="Arial" w:hAnsi="Arial" w:cs="Arial"/>
          <w:color w:val="auto"/>
        </w:rPr>
        <w:t>).</w:t>
      </w:r>
      <w:r w:rsidR="008E0F84">
        <w:rPr>
          <w:rFonts w:ascii="Arial" w:hAnsi="Arial" w:cs="Arial"/>
          <w:color w:val="auto"/>
        </w:rPr>
        <w:t xml:space="preserve">  [From ICH E6</w:t>
      </w:r>
      <w:r w:rsidR="00C145D9">
        <w:rPr>
          <w:rFonts w:ascii="Arial" w:hAnsi="Arial" w:cs="Arial"/>
          <w:color w:val="auto"/>
        </w:rPr>
        <w:t>]</w:t>
      </w:r>
    </w:p>
    <w:p w:rsidR="00BD330F" w:rsidRPr="00BD330F" w:rsidRDefault="00BD330F" w:rsidP="00921520">
      <w:pPr>
        <w:pStyle w:val="NormalWeb"/>
        <w:numPr>
          <w:ilvl w:val="0"/>
          <w:numId w:val="8"/>
        </w:numPr>
        <w:spacing w:before="0" w:beforeAutospacing="0" w:after="120" w:afterAutospacing="0"/>
        <w:rPr>
          <w:rFonts w:cs="Arial"/>
        </w:rPr>
      </w:pPr>
      <w:r w:rsidRPr="00BD330F">
        <w:rPr>
          <w:rFonts w:cs="Arial"/>
          <w:b/>
          <w:i/>
          <w:iCs/>
        </w:rPr>
        <w:t>Suspected adverse reaction</w:t>
      </w:r>
      <w:r w:rsidRPr="00BD330F">
        <w:rPr>
          <w:rFonts w:cs="Arial"/>
        </w:rPr>
        <w:t xml:space="preserve"> means any adverse event for which there is a reasonable possibility that the drug caused the adverse event. For the purposes of IND safety reporting, "reasonable possibility" means there is evidence to suggest a causal relationship between the drug and the adverse event. Suspected adverse reaction implies a lesser degree of certainty about causality than adverse reaction, which means any adverse event caused by a drug.</w:t>
      </w:r>
      <w:r w:rsidR="008E0F84">
        <w:rPr>
          <w:rFonts w:cs="Arial"/>
        </w:rPr>
        <w:t xml:space="preserve">  [From CFR 312.32</w:t>
      </w:r>
      <w:r w:rsidR="00C145D9">
        <w:rPr>
          <w:rFonts w:cs="Arial"/>
        </w:rPr>
        <w:t>]</w:t>
      </w:r>
    </w:p>
    <w:p w:rsidR="00BD330F" w:rsidRPr="00BD330F" w:rsidRDefault="00BD330F" w:rsidP="009D0899">
      <w:pPr>
        <w:pStyle w:val="NormalWeb"/>
        <w:numPr>
          <w:ilvl w:val="0"/>
          <w:numId w:val="8"/>
        </w:numPr>
        <w:spacing w:before="120" w:beforeAutospacing="0" w:after="60" w:afterAutospacing="0"/>
        <w:rPr>
          <w:rFonts w:cs="Arial"/>
        </w:rPr>
      </w:pPr>
      <w:r w:rsidRPr="00BD330F">
        <w:rPr>
          <w:rFonts w:cs="Arial"/>
          <w:b/>
          <w:i/>
          <w:iCs/>
        </w:rPr>
        <w:t>Unexpected adverse event</w:t>
      </w:r>
      <w:r w:rsidRPr="00BD330F">
        <w:rPr>
          <w:rFonts w:cs="Arial"/>
          <w:b/>
        </w:rPr>
        <w:t xml:space="preserve"> or </w:t>
      </w:r>
      <w:r w:rsidRPr="00BD330F">
        <w:rPr>
          <w:rFonts w:cs="Arial"/>
          <w:b/>
          <w:i/>
          <w:iCs/>
        </w:rPr>
        <w:t>unexpected suspected adverse</w:t>
      </w:r>
      <w:r w:rsidRPr="00BD330F">
        <w:rPr>
          <w:rFonts w:cs="Arial"/>
          <w:i/>
          <w:iCs/>
        </w:rPr>
        <w:t xml:space="preserve"> </w:t>
      </w:r>
      <w:r w:rsidRPr="006633E3">
        <w:rPr>
          <w:rFonts w:cs="Arial"/>
          <w:b/>
          <w:i/>
          <w:iCs/>
        </w:rPr>
        <w:t>reaction</w:t>
      </w:r>
      <w:r w:rsidRPr="00BD330F">
        <w:rPr>
          <w:rFonts w:cs="Arial"/>
        </w:rPr>
        <w:t>. An adverse event or suspected adverse reaction is considered "unexpected" if it is not listed in the investigator brochure or is not listed at the specificity or severity that has been observed; or, if an investigator brochure is not required or available, is not consistent with the risk information described in the general investigational plan or elsewhere in the current application, as amended. For example, under this definition, hepatic necrosis would be unexpected (by virtue of greater severity) if the investigator brochure referred only to elevated hepatic enzymes or hepatitis. Similarly, cerebral thromboembolism and cerebral vasculitis would be unexpected (by virtue of greater specificity) if the investigator brochure listed only cerebral vascular accidents. "Unexpected," as used in this definition, also refers to adverse events or suspected adverse reactions that are mentioned in the investigator brochure as occurring with a class of drugs or as anticipated from the pharmacological properties of the drug, but are not specifically mentioned as occurring with the particular drug under investigation.</w:t>
      </w:r>
      <w:r w:rsidR="008E0F84">
        <w:rPr>
          <w:rFonts w:cs="Arial"/>
        </w:rPr>
        <w:t xml:space="preserve">  [From CFR 312.32</w:t>
      </w:r>
      <w:r w:rsidR="00C145D9">
        <w:rPr>
          <w:rFonts w:cs="Arial"/>
        </w:rPr>
        <w:t>]</w:t>
      </w:r>
    </w:p>
    <w:p w:rsidR="00113A40" w:rsidRDefault="00113A40" w:rsidP="009D0899">
      <w:pPr>
        <w:numPr>
          <w:ilvl w:val="0"/>
          <w:numId w:val="8"/>
        </w:numPr>
        <w:spacing w:before="120" w:after="60"/>
        <w:rPr>
          <w:rFonts w:cs="Arial"/>
          <w:b/>
          <w:sz w:val="24"/>
          <w:szCs w:val="24"/>
        </w:rPr>
      </w:pPr>
      <w:r>
        <w:rPr>
          <w:rFonts w:cs="Arial"/>
          <w:b/>
          <w:sz w:val="24"/>
          <w:szCs w:val="24"/>
        </w:rPr>
        <w:t>Treatment Emergent Adverse Event</w:t>
      </w:r>
      <w:r w:rsidR="00001736">
        <w:rPr>
          <w:rFonts w:cs="Arial"/>
          <w:b/>
          <w:sz w:val="24"/>
          <w:szCs w:val="24"/>
        </w:rPr>
        <w:br/>
      </w:r>
      <w:r w:rsidR="00001736" w:rsidRPr="00001736">
        <w:rPr>
          <w:rFonts w:cs="Arial"/>
          <w:sz w:val="24"/>
          <w:szCs w:val="24"/>
        </w:rPr>
        <w:t xml:space="preserve">An AE </w:t>
      </w:r>
      <w:r w:rsidR="00913A3E">
        <w:rPr>
          <w:rFonts w:cs="Arial"/>
          <w:sz w:val="24"/>
          <w:szCs w:val="24"/>
        </w:rPr>
        <w:t>for which the</w:t>
      </w:r>
      <w:r w:rsidR="00001736" w:rsidRPr="00001736">
        <w:rPr>
          <w:rFonts w:cs="Arial"/>
          <w:sz w:val="24"/>
          <w:szCs w:val="24"/>
        </w:rPr>
        <w:t xml:space="preserve"> start date is on or after the date </w:t>
      </w:r>
      <w:r w:rsidR="00001736">
        <w:rPr>
          <w:rFonts w:cs="Arial"/>
          <w:sz w:val="24"/>
          <w:szCs w:val="24"/>
        </w:rPr>
        <w:t xml:space="preserve">that the intervention began. </w:t>
      </w:r>
    </w:p>
    <w:p w:rsidR="005B53B3" w:rsidRPr="000F4D02" w:rsidRDefault="005B53B3" w:rsidP="00D41840">
      <w:pPr>
        <w:numPr>
          <w:ilvl w:val="0"/>
          <w:numId w:val="8"/>
        </w:numPr>
        <w:spacing w:before="120" w:after="60"/>
        <w:rPr>
          <w:rFonts w:cs="Arial"/>
          <w:b/>
          <w:sz w:val="24"/>
          <w:szCs w:val="24"/>
        </w:rPr>
      </w:pPr>
      <w:r w:rsidRPr="000F4D02">
        <w:rPr>
          <w:rFonts w:cs="Arial"/>
          <w:b/>
          <w:sz w:val="24"/>
          <w:szCs w:val="24"/>
        </w:rPr>
        <w:t xml:space="preserve">Serious Adverse Events </w:t>
      </w:r>
    </w:p>
    <w:p w:rsidR="005B53B3" w:rsidRPr="000F4D02" w:rsidRDefault="005B53B3" w:rsidP="006633E3">
      <w:pPr>
        <w:spacing w:after="120"/>
        <w:ind w:left="720"/>
        <w:rPr>
          <w:rFonts w:cs="Arial"/>
          <w:sz w:val="24"/>
          <w:szCs w:val="24"/>
        </w:rPr>
      </w:pPr>
      <w:r w:rsidRPr="000F4D02">
        <w:rPr>
          <w:rFonts w:cs="Arial"/>
          <w:sz w:val="24"/>
          <w:szCs w:val="24"/>
        </w:rPr>
        <w:t>SAEs are a subset of adverse events</w:t>
      </w:r>
      <w:r w:rsidR="00CD3131">
        <w:rPr>
          <w:rFonts w:cs="Arial"/>
          <w:sz w:val="24"/>
          <w:szCs w:val="24"/>
        </w:rPr>
        <w:t>.</w:t>
      </w:r>
    </w:p>
    <w:p w:rsidR="005B53B3" w:rsidRPr="000F4D02" w:rsidRDefault="00D22597" w:rsidP="006633E3">
      <w:pPr>
        <w:spacing w:after="120"/>
        <w:ind w:left="720"/>
        <w:rPr>
          <w:rFonts w:cs="Arial"/>
          <w:sz w:val="24"/>
          <w:szCs w:val="24"/>
        </w:rPr>
      </w:pPr>
      <w:r w:rsidRPr="000F4D02">
        <w:rPr>
          <w:rFonts w:cs="Arial"/>
          <w:sz w:val="24"/>
          <w:szCs w:val="24"/>
        </w:rPr>
        <w:t xml:space="preserve">An </w:t>
      </w:r>
      <w:r w:rsidR="005B53B3" w:rsidRPr="000F4D02">
        <w:rPr>
          <w:rFonts w:cs="Arial"/>
          <w:sz w:val="24"/>
          <w:szCs w:val="24"/>
        </w:rPr>
        <w:t xml:space="preserve">SAE </w:t>
      </w:r>
      <w:r w:rsidRPr="000F4D02">
        <w:rPr>
          <w:rFonts w:cs="Arial"/>
          <w:sz w:val="24"/>
          <w:szCs w:val="24"/>
        </w:rPr>
        <w:t xml:space="preserve">is defined as </w:t>
      </w:r>
      <w:r w:rsidR="005B53B3" w:rsidRPr="000F4D02">
        <w:rPr>
          <w:rFonts w:cs="Arial"/>
          <w:sz w:val="24"/>
          <w:szCs w:val="24"/>
        </w:rPr>
        <w:t>any untoward medical occurrence that</w:t>
      </w:r>
      <w:r w:rsidR="00B00516" w:rsidRPr="000F4D02">
        <w:rPr>
          <w:rFonts w:cs="Arial"/>
          <w:sz w:val="24"/>
          <w:szCs w:val="24"/>
        </w:rPr>
        <w:t xml:space="preserve"> meets any of the following criteria</w:t>
      </w:r>
      <w:r w:rsidRPr="000F4D02">
        <w:rPr>
          <w:rFonts w:cs="Arial"/>
          <w:sz w:val="24"/>
          <w:szCs w:val="24"/>
        </w:rPr>
        <w:t>:</w:t>
      </w:r>
      <w:r w:rsidR="005B53B3" w:rsidRPr="000F4D02">
        <w:rPr>
          <w:rFonts w:cs="Arial"/>
          <w:sz w:val="24"/>
          <w:szCs w:val="24"/>
        </w:rPr>
        <w:t xml:space="preserve"> </w:t>
      </w:r>
    </w:p>
    <w:p w:rsidR="005B53B3" w:rsidRPr="000F4D02" w:rsidRDefault="005B53B3" w:rsidP="00870BD2">
      <w:pPr>
        <w:numPr>
          <w:ilvl w:val="1"/>
          <w:numId w:val="8"/>
        </w:numPr>
        <w:spacing w:after="120"/>
        <w:rPr>
          <w:rFonts w:cs="Arial"/>
          <w:sz w:val="24"/>
          <w:szCs w:val="24"/>
        </w:rPr>
      </w:pPr>
      <w:r w:rsidRPr="000F4D02">
        <w:rPr>
          <w:rFonts w:cs="Arial"/>
          <w:sz w:val="24"/>
          <w:szCs w:val="24"/>
        </w:rPr>
        <w:t xml:space="preserve">results in death </w:t>
      </w:r>
    </w:p>
    <w:p w:rsidR="005B53B3" w:rsidRPr="000F4D02" w:rsidRDefault="005B53B3" w:rsidP="00870BD2">
      <w:pPr>
        <w:numPr>
          <w:ilvl w:val="0"/>
          <w:numId w:val="7"/>
        </w:numPr>
        <w:tabs>
          <w:tab w:val="num" w:pos="720"/>
        </w:tabs>
        <w:spacing w:after="120"/>
        <w:rPr>
          <w:rFonts w:cs="Arial"/>
          <w:sz w:val="24"/>
          <w:szCs w:val="24"/>
        </w:rPr>
      </w:pPr>
      <w:r w:rsidRPr="000F4D02">
        <w:rPr>
          <w:rFonts w:cs="Arial"/>
          <w:sz w:val="24"/>
          <w:szCs w:val="24"/>
        </w:rPr>
        <w:t xml:space="preserve">is life-threatening </w:t>
      </w:r>
      <w:r w:rsidR="003F5FBF" w:rsidRPr="000F4D02">
        <w:rPr>
          <w:rFonts w:cs="Arial"/>
          <w:sz w:val="24"/>
          <w:szCs w:val="24"/>
        </w:rPr>
        <w:t>(The term "life-threatening" in the definition of "serious" refers to an event in which the patient was at risk of death at the time of the event; it does not refer to an event which hypothetically might have caused death if it were more severe.</w:t>
      </w:r>
      <w:r w:rsidR="00D967F0">
        <w:rPr>
          <w:rFonts w:cs="Arial"/>
          <w:sz w:val="24"/>
          <w:szCs w:val="24"/>
        </w:rPr>
        <w:t xml:space="preserve"> [Explanatory text from ICH E2A]</w:t>
      </w:r>
      <w:r w:rsidR="003F5FBF" w:rsidRPr="000F4D02">
        <w:rPr>
          <w:rFonts w:cs="Arial"/>
          <w:sz w:val="24"/>
          <w:szCs w:val="24"/>
        </w:rPr>
        <w:t>)</w:t>
      </w:r>
    </w:p>
    <w:p w:rsidR="005B53B3" w:rsidRPr="000F4D02" w:rsidRDefault="005B53B3" w:rsidP="00870BD2">
      <w:pPr>
        <w:numPr>
          <w:ilvl w:val="0"/>
          <w:numId w:val="7"/>
        </w:numPr>
        <w:tabs>
          <w:tab w:val="num" w:pos="720"/>
        </w:tabs>
        <w:spacing w:after="120"/>
        <w:rPr>
          <w:rFonts w:cs="Arial"/>
          <w:sz w:val="24"/>
          <w:szCs w:val="24"/>
        </w:rPr>
      </w:pPr>
      <w:r w:rsidRPr="000F4D02">
        <w:rPr>
          <w:rFonts w:cs="Arial"/>
          <w:sz w:val="24"/>
          <w:szCs w:val="24"/>
        </w:rPr>
        <w:t xml:space="preserve">requires inpatient hospitalization or prolongation of existing hospitalization </w:t>
      </w:r>
    </w:p>
    <w:p w:rsidR="00B00516" w:rsidRPr="000F4D02" w:rsidRDefault="005B53B3" w:rsidP="00B00516">
      <w:pPr>
        <w:numPr>
          <w:ilvl w:val="0"/>
          <w:numId w:val="7"/>
        </w:numPr>
        <w:tabs>
          <w:tab w:val="num" w:pos="720"/>
        </w:tabs>
        <w:spacing w:after="120"/>
        <w:rPr>
          <w:rFonts w:cs="Arial"/>
          <w:sz w:val="24"/>
          <w:szCs w:val="24"/>
        </w:rPr>
      </w:pPr>
      <w:r w:rsidRPr="000F4D02">
        <w:rPr>
          <w:rFonts w:cs="Arial"/>
          <w:sz w:val="24"/>
          <w:szCs w:val="24"/>
        </w:rPr>
        <w:t xml:space="preserve">results in persistent or significant disability/incapacity </w:t>
      </w:r>
    </w:p>
    <w:p w:rsidR="005B53B3" w:rsidRPr="000F4D02" w:rsidRDefault="005B53B3" w:rsidP="00870BD2">
      <w:pPr>
        <w:numPr>
          <w:ilvl w:val="0"/>
          <w:numId w:val="7"/>
        </w:numPr>
        <w:tabs>
          <w:tab w:val="num" w:pos="720"/>
        </w:tabs>
        <w:spacing w:after="120"/>
        <w:rPr>
          <w:rFonts w:cs="Arial"/>
          <w:sz w:val="24"/>
          <w:szCs w:val="24"/>
        </w:rPr>
      </w:pPr>
      <w:r w:rsidRPr="000F4D02">
        <w:rPr>
          <w:rFonts w:cs="Arial"/>
          <w:sz w:val="24"/>
          <w:szCs w:val="24"/>
        </w:rPr>
        <w:t xml:space="preserve">is a congenital anomaly/birth defect </w:t>
      </w:r>
      <w:r w:rsidR="00A35189">
        <w:rPr>
          <w:rFonts w:cs="Arial"/>
          <w:sz w:val="24"/>
          <w:szCs w:val="24"/>
        </w:rPr>
        <w:t xml:space="preserve"> [Bullets 1-5 f</w:t>
      </w:r>
      <w:r w:rsidR="00187E8C">
        <w:rPr>
          <w:rFonts w:cs="Arial"/>
          <w:sz w:val="24"/>
          <w:szCs w:val="24"/>
        </w:rPr>
        <w:t>rom ICH E2A and E6]</w:t>
      </w:r>
    </w:p>
    <w:p w:rsidR="00F737F0" w:rsidRPr="000714D8" w:rsidRDefault="00E76E38" w:rsidP="00A11E94">
      <w:pPr>
        <w:spacing w:after="120"/>
        <w:ind w:left="720"/>
        <w:rPr>
          <w:rFonts w:cs="Arial"/>
          <w:sz w:val="24"/>
          <w:szCs w:val="24"/>
        </w:rPr>
      </w:pPr>
      <w:r>
        <w:rPr>
          <w:rFonts w:cs="Arial"/>
          <w:sz w:val="24"/>
          <w:szCs w:val="24"/>
        </w:rPr>
        <w:t xml:space="preserve">In addition, </w:t>
      </w:r>
      <w:r w:rsidR="00CC713D">
        <w:rPr>
          <w:rFonts w:cs="Arial"/>
          <w:sz w:val="24"/>
          <w:szCs w:val="24"/>
        </w:rPr>
        <w:t>a</w:t>
      </w:r>
      <w:r w:rsidR="008067DC" w:rsidRPr="000714D8">
        <w:rPr>
          <w:rFonts w:cs="Arial"/>
          <w:sz w:val="24"/>
          <w:szCs w:val="24"/>
        </w:rPr>
        <w:t>n important medical event that may not result in death, be life threatening, or require hospitalization may be considered an SAE when, based upon appropriate medical judgment, the event may</w:t>
      </w:r>
      <w:r w:rsidR="000020BF">
        <w:rPr>
          <w:rFonts w:cs="Arial"/>
          <w:sz w:val="24"/>
          <w:szCs w:val="24"/>
        </w:rPr>
        <w:t xml:space="preserve"> jeopardize the</w:t>
      </w:r>
      <w:r w:rsidR="00A4146D">
        <w:rPr>
          <w:rFonts w:cs="Arial"/>
          <w:sz w:val="24"/>
          <w:szCs w:val="24"/>
        </w:rPr>
        <w:t xml:space="preserve"> subject</w:t>
      </w:r>
      <w:r w:rsidR="00A161D5">
        <w:rPr>
          <w:rFonts w:cs="Arial"/>
          <w:sz w:val="24"/>
          <w:szCs w:val="24"/>
        </w:rPr>
        <w:t>’s health</w:t>
      </w:r>
      <w:r w:rsidR="0076166C" w:rsidRPr="000020BF">
        <w:rPr>
          <w:rFonts w:cs="Arial"/>
          <w:sz w:val="24"/>
          <w:szCs w:val="24"/>
        </w:rPr>
        <w:t xml:space="preserve"> </w:t>
      </w:r>
      <w:r w:rsidR="0076166C" w:rsidRPr="0076166C">
        <w:rPr>
          <w:rFonts w:cs="Arial"/>
          <w:sz w:val="24"/>
          <w:szCs w:val="24"/>
        </w:rPr>
        <w:t>and</w:t>
      </w:r>
      <w:r w:rsidR="008067DC" w:rsidRPr="000714D8">
        <w:rPr>
          <w:rFonts w:cs="Arial"/>
          <w:sz w:val="24"/>
          <w:szCs w:val="24"/>
        </w:rPr>
        <w:t xml:space="preserve"> may require medical or surgical intervention to prevent one of the outcomes listed in this definition.</w:t>
      </w:r>
      <w:r w:rsidR="000714D8">
        <w:rPr>
          <w:rFonts w:cs="Arial"/>
          <w:sz w:val="24"/>
          <w:szCs w:val="24"/>
        </w:rPr>
        <w:t xml:space="preserve">  [</w:t>
      </w:r>
      <w:r w:rsidR="00AD4841">
        <w:rPr>
          <w:rFonts w:cs="Arial"/>
          <w:sz w:val="24"/>
          <w:szCs w:val="24"/>
        </w:rPr>
        <w:t>Adapted f</w:t>
      </w:r>
      <w:r w:rsidR="000714D8">
        <w:rPr>
          <w:rFonts w:cs="Arial"/>
          <w:sz w:val="24"/>
          <w:szCs w:val="24"/>
        </w:rPr>
        <w:t>rom</w:t>
      </w:r>
      <w:r w:rsidR="00A4146D">
        <w:rPr>
          <w:rFonts w:cs="Arial"/>
          <w:sz w:val="24"/>
          <w:szCs w:val="24"/>
        </w:rPr>
        <w:t xml:space="preserve"> </w:t>
      </w:r>
      <w:r w:rsidR="00A161D5">
        <w:rPr>
          <w:rFonts w:cs="Arial"/>
          <w:sz w:val="24"/>
          <w:szCs w:val="24"/>
        </w:rPr>
        <w:t>OHRP Guidance</w:t>
      </w:r>
      <w:r w:rsidR="000714D8">
        <w:rPr>
          <w:rFonts w:cs="Arial"/>
          <w:sz w:val="24"/>
          <w:szCs w:val="24"/>
        </w:rPr>
        <w:t>]</w:t>
      </w:r>
    </w:p>
    <w:p w:rsidR="00F737F0" w:rsidRPr="00FD0460" w:rsidRDefault="00F737F0" w:rsidP="00D41840">
      <w:pPr>
        <w:pStyle w:val="CROMSInstruction"/>
        <w:ind w:left="720"/>
      </w:pPr>
      <w:r w:rsidRPr="00CE521D">
        <w:t xml:space="preserve">{Some protocols may list events specific to the protocol that should be reported as serious.  Examples might be post-extraction bleeding in anticoagulated </w:t>
      </w:r>
      <w:r w:rsidR="00C74056">
        <w:t>participants</w:t>
      </w:r>
      <w:r w:rsidR="00C74056" w:rsidRPr="00CE521D">
        <w:t xml:space="preserve"> </w:t>
      </w:r>
      <w:r w:rsidRPr="00CE521D">
        <w:t>and anaphylactic reaction after lidocaine or analgesic administration.}</w:t>
      </w:r>
    </w:p>
    <w:p w:rsidR="00676754" w:rsidRDefault="00676754" w:rsidP="006633E3">
      <w:pPr>
        <w:ind w:left="720"/>
        <w:rPr>
          <w:rFonts w:cs="Arial"/>
          <w:sz w:val="24"/>
          <w:szCs w:val="24"/>
        </w:rPr>
      </w:pPr>
    </w:p>
    <w:p w:rsidR="005B53B3" w:rsidRPr="00BD330F" w:rsidRDefault="00BD330F" w:rsidP="006633E3">
      <w:pPr>
        <w:ind w:left="720"/>
        <w:rPr>
          <w:rFonts w:cs="Arial"/>
          <w:b/>
          <w:sz w:val="24"/>
          <w:szCs w:val="24"/>
        </w:rPr>
      </w:pPr>
      <w:r w:rsidRPr="00BD330F">
        <w:rPr>
          <w:rFonts w:cs="Arial"/>
          <w:sz w:val="24"/>
          <w:szCs w:val="24"/>
        </w:rPr>
        <w:t>An adverse event or suspected adverse reaction is considered "</w:t>
      </w:r>
      <w:r w:rsidRPr="00BD330F">
        <w:rPr>
          <w:rFonts w:cs="Arial"/>
          <w:b/>
          <w:sz w:val="24"/>
          <w:szCs w:val="24"/>
        </w:rPr>
        <w:t>serious</w:t>
      </w:r>
      <w:r w:rsidRPr="00BD330F">
        <w:rPr>
          <w:rFonts w:cs="Arial"/>
          <w:sz w:val="24"/>
          <w:szCs w:val="24"/>
        </w:rPr>
        <w:t xml:space="preserve">" if, in the view of either the investigator or sponsor, it results in any of the following outcomes: Death, a life-threatening adverse event, inpatient hospitalization or prolongation of existing hospitalization, a persistent or significant incapacity or substantial disruption of the ability to conduct normal life functions, or a congenital anomaly/birth defect. Important medical events that may not result in death, be life-threatening, or require hospitalization may be considered serious when, based upon appropriate medical judgment, they may jeopardize the patient or </w:t>
      </w:r>
      <w:r w:rsidRPr="000020BF">
        <w:rPr>
          <w:rFonts w:cs="Arial"/>
          <w:sz w:val="24"/>
          <w:szCs w:val="24"/>
        </w:rPr>
        <w:t>subject</w:t>
      </w:r>
      <w:r w:rsidRPr="00BD330F">
        <w:rPr>
          <w:rFonts w:cs="Arial"/>
          <w:sz w:val="24"/>
          <w:szCs w:val="24"/>
        </w:rPr>
        <w:t xml:space="preserve"> and may require medical or surgical intervention to prevent one of the outcomes listed in this definition. Examples of such medical events include allergic bronchospasm requiring intensive treatment in an emergency room or at home, blood dyscrasias or convulsions that do not result in inpatient hospitalization, or the development of drug dependency or drug abuse.</w:t>
      </w:r>
      <w:r w:rsidR="008E0F84">
        <w:rPr>
          <w:rFonts w:cs="Arial"/>
          <w:sz w:val="24"/>
          <w:szCs w:val="24"/>
        </w:rPr>
        <w:t xml:space="preserve">  [From CFR 312.32]</w:t>
      </w:r>
    </w:p>
    <w:sectPr w:rsidR="005B53B3" w:rsidRPr="00BD330F" w:rsidSect="00800D4C">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296" w:right="1440" w:bottom="1296"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AD1" w:rsidRDefault="00A93AD1">
      <w:r>
        <w:separator/>
      </w:r>
    </w:p>
  </w:endnote>
  <w:endnote w:type="continuationSeparator" w:id="0">
    <w:p w:rsidR="00A93AD1" w:rsidRDefault="00A93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1E5" w:rsidRDefault="002A61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736" w:rsidRDefault="00001736">
    <w:pPr>
      <w:pStyle w:val="Footer"/>
    </w:pPr>
    <w:r>
      <w:rPr>
        <w:rFonts w:ascii="Calibri" w:hAnsi="Calibri" w:cs="Calibri"/>
        <w:sz w:val="22"/>
        <w:szCs w:val="22"/>
      </w:rPr>
      <w:t>v</w:t>
    </w:r>
    <w:r w:rsidR="00CA4EB1">
      <w:rPr>
        <w:rFonts w:ascii="Calibri" w:hAnsi="Calibri" w:cs="Calibri"/>
        <w:sz w:val="22"/>
        <w:szCs w:val="22"/>
        <w:lang w:val="en-US"/>
      </w:rPr>
      <w:t xml:space="preserve">3.0 </w:t>
    </w:r>
    <w:r>
      <w:rPr>
        <w:rFonts w:ascii="Calibri" w:hAnsi="Calibri" w:cs="Calibri"/>
        <w:sz w:val="22"/>
        <w:szCs w:val="22"/>
      </w:rPr>
      <w:t xml:space="preserve">– </w:t>
    </w:r>
    <w:r w:rsidR="009E5AA7">
      <w:rPr>
        <w:rFonts w:ascii="Calibri" w:hAnsi="Calibri" w:cs="Calibri"/>
        <w:sz w:val="22"/>
        <w:szCs w:val="22"/>
        <w:lang w:val="en-US"/>
      </w:rPr>
      <w:t>2017-</w:t>
    </w:r>
    <w:r w:rsidR="00CA4EB1">
      <w:rPr>
        <w:rFonts w:ascii="Calibri" w:hAnsi="Calibri" w:cs="Calibri"/>
        <w:sz w:val="22"/>
        <w:szCs w:val="22"/>
        <w:lang w:val="en-US"/>
      </w:rPr>
      <w:t>11-01</w:t>
    </w:r>
    <w:r w:rsidRPr="00C95B67">
      <w:rPr>
        <w:rFonts w:ascii="Calibri" w:hAnsi="Calibri" w:cs="Calibri"/>
        <w:sz w:val="22"/>
        <w:szCs w:val="22"/>
      </w:rPr>
      <w:tab/>
    </w:r>
    <w:r w:rsidRPr="00C95B67">
      <w:rPr>
        <w:rFonts w:ascii="Calibri" w:hAnsi="Calibri" w:cs="Calibri"/>
        <w:sz w:val="22"/>
        <w:szCs w:val="22"/>
      </w:rPr>
      <w:tab/>
    </w:r>
    <w:bookmarkStart w:id="0" w:name="_GoBack"/>
    <w:bookmarkEnd w:id="0"/>
    <w:r w:rsidRPr="00C95B67">
      <w:rPr>
        <w:rFonts w:ascii="Calibri" w:hAnsi="Calibri" w:cs="Calibri"/>
        <w:sz w:val="22"/>
        <w:szCs w:val="22"/>
      </w:rPr>
      <w:t xml:space="preserve">Page </w:t>
    </w:r>
    <w:r w:rsidRPr="00C95B67">
      <w:rPr>
        <w:rFonts w:ascii="Calibri" w:hAnsi="Calibri" w:cs="Calibri"/>
        <w:bCs/>
        <w:sz w:val="22"/>
        <w:szCs w:val="22"/>
      </w:rPr>
      <w:fldChar w:fldCharType="begin"/>
    </w:r>
    <w:r w:rsidRPr="00C95B67">
      <w:rPr>
        <w:rFonts w:ascii="Calibri" w:hAnsi="Calibri" w:cs="Calibri"/>
        <w:bCs/>
        <w:sz w:val="22"/>
        <w:szCs w:val="22"/>
      </w:rPr>
      <w:instrText xml:space="preserve"> PAGE </w:instrText>
    </w:r>
    <w:r w:rsidRPr="00C95B67">
      <w:rPr>
        <w:rFonts w:ascii="Calibri" w:hAnsi="Calibri" w:cs="Calibri"/>
        <w:bCs/>
        <w:sz w:val="22"/>
        <w:szCs w:val="22"/>
      </w:rPr>
      <w:fldChar w:fldCharType="separate"/>
    </w:r>
    <w:r w:rsidR="00A32AFB">
      <w:rPr>
        <w:rFonts w:ascii="Calibri" w:hAnsi="Calibri" w:cs="Calibri"/>
        <w:bCs/>
        <w:noProof/>
        <w:sz w:val="22"/>
        <w:szCs w:val="22"/>
      </w:rPr>
      <w:t>2</w:t>
    </w:r>
    <w:r w:rsidRPr="00C95B67">
      <w:rPr>
        <w:rFonts w:ascii="Calibri" w:hAnsi="Calibri" w:cs="Calibri"/>
        <w:bCs/>
        <w:sz w:val="22"/>
        <w:szCs w:val="22"/>
      </w:rPr>
      <w:fldChar w:fldCharType="end"/>
    </w:r>
    <w:r w:rsidRPr="00C95B67">
      <w:rPr>
        <w:rFonts w:ascii="Calibri" w:hAnsi="Calibri" w:cs="Calibri"/>
        <w:sz w:val="22"/>
        <w:szCs w:val="22"/>
      </w:rPr>
      <w:t xml:space="preserve"> of </w:t>
    </w:r>
    <w:r w:rsidRPr="00C95B67">
      <w:rPr>
        <w:rFonts w:ascii="Calibri" w:hAnsi="Calibri" w:cs="Calibri"/>
        <w:bCs/>
        <w:sz w:val="22"/>
        <w:szCs w:val="22"/>
      </w:rPr>
      <w:fldChar w:fldCharType="begin"/>
    </w:r>
    <w:r w:rsidRPr="00C95B67">
      <w:rPr>
        <w:rFonts w:ascii="Calibri" w:hAnsi="Calibri" w:cs="Calibri"/>
        <w:bCs/>
        <w:sz w:val="22"/>
        <w:szCs w:val="22"/>
      </w:rPr>
      <w:instrText xml:space="preserve"> NUMPAGES  </w:instrText>
    </w:r>
    <w:r w:rsidRPr="00C95B67">
      <w:rPr>
        <w:rFonts w:ascii="Calibri" w:hAnsi="Calibri" w:cs="Calibri"/>
        <w:bCs/>
        <w:sz w:val="22"/>
        <w:szCs w:val="22"/>
      </w:rPr>
      <w:fldChar w:fldCharType="separate"/>
    </w:r>
    <w:r w:rsidR="00A32AFB">
      <w:rPr>
        <w:rFonts w:ascii="Calibri" w:hAnsi="Calibri" w:cs="Calibri"/>
        <w:bCs/>
        <w:noProof/>
        <w:sz w:val="22"/>
        <w:szCs w:val="22"/>
      </w:rPr>
      <w:t>5</w:t>
    </w:r>
    <w:r w:rsidRPr="00C95B67">
      <w:rPr>
        <w:rFonts w:ascii="Calibri" w:hAnsi="Calibri" w:cs="Calibri"/>
        <w:bCs/>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736" w:rsidRPr="00B17432" w:rsidRDefault="00001736" w:rsidP="005B53B3">
    <w:pPr>
      <w:pStyle w:val="Footer"/>
      <w:tabs>
        <w:tab w:val="clear" w:pos="4320"/>
        <w:tab w:val="clear" w:pos="8640"/>
        <w:tab w:val="center" w:pos="4680"/>
        <w:tab w:val="right" w:pos="9360"/>
      </w:tabs>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AD1" w:rsidRDefault="00A93AD1">
      <w:r>
        <w:separator/>
      </w:r>
    </w:p>
  </w:footnote>
  <w:footnote w:type="continuationSeparator" w:id="0">
    <w:p w:rsidR="00A93AD1" w:rsidRDefault="00A93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1E5" w:rsidRDefault="002A61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736" w:rsidRDefault="00001736" w:rsidP="00C55EF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736" w:rsidRDefault="00764E6D">
    <w:pPr>
      <w:pStyle w:val="Header"/>
      <w:rPr>
        <w:lang w:val="en-US"/>
      </w:rPr>
    </w:pPr>
    <w:r w:rsidRPr="00B41B20">
      <w:rPr>
        <w:noProof/>
        <w:lang w:val="en-US" w:eastAsia="en-US"/>
      </w:rPr>
      <w:drawing>
        <wp:inline distT="0" distB="0" distL="0" distR="0" wp14:anchorId="5D8074AB" wp14:editId="2408A2AF">
          <wp:extent cx="2266950" cy="457970"/>
          <wp:effectExtent l="0" t="0" r="0" b="0"/>
          <wp:docPr id="11" name="Picture 11" descr="National Institute of Dental and Craniofacial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larke\Documents\NIDCR\508 compliance\logo_nidc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40" cy="469200"/>
                  </a:xfrm>
                  <a:prstGeom prst="rect">
                    <a:avLst/>
                  </a:prstGeom>
                  <a:noFill/>
                  <a:ln>
                    <a:noFill/>
                  </a:ln>
                </pic:spPr>
              </pic:pic>
            </a:graphicData>
          </a:graphic>
        </wp:inline>
      </w:drawing>
    </w:r>
  </w:p>
  <w:p w:rsidR="00FC4DCE" w:rsidRPr="00E022AE" w:rsidRDefault="00FC4DCE">
    <w:pPr>
      <w:pStyle w:val="Header"/>
      <w:rPr>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F9E5E6C"/>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DE14553A"/>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79BA4A54"/>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4041ECA"/>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92B6D3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401A44"/>
    <w:multiLevelType w:val="hybridMultilevel"/>
    <w:tmpl w:val="9CA61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92654D"/>
    <w:multiLevelType w:val="hybridMultilevel"/>
    <w:tmpl w:val="00D43C4A"/>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7232409E" w:tentative="1">
      <w:start w:val="1"/>
      <w:numFmt w:val="bullet"/>
      <w:lvlText w:val="•"/>
      <w:lvlJc w:val="left"/>
      <w:pPr>
        <w:tabs>
          <w:tab w:val="num" w:pos="2160"/>
        </w:tabs>
        <w:ind w:left="2160" w:hanging="360"/>
      </w:pPr>
      <w:rPr>
        <w:rFonts w:ascii="Arial" w:hAnsi="Arial" w:hint="default"/>
      </w:rPr>
    </w:lvl>
    <w:lvl w:ilvl="3" w:tplc="43069F90" w:tentative="1">
      <w:start w:val="1"/>
      <w:numFmt w:val="bullet"/>
      <w:lvlText w:val="•"/>
      <w:lvlJc w:val="left"/>
      <w:pPr>
        <w:tabs>
          <w:tab w:val="num" w:pos="2880"/>
        </w:tabs>
        <w:ind w:left="2880" w:hanging="360"/>
      </w:pPr>
      <w:rPr>
        <w:rFonts w:ascii="Arial" w:hAnsi="Arial" w:hint="default"/>
      </w:rPr>
    </w:lvl>
    <w:lvl w:ilvl="4" w:tplc="EB6E6BB2" w:tentative="1">
      <w:start w:val="1"/>
      <w:numFmt w:val="bullet"/>
      <w:lvlText w:val="•"/>
      <w:lvlJc w:val="left"/>
      <w:pPr>
        <w:tabs>
          <w:tab w:val="num" w:pos="3600"/>
        </w:tabs>
        <w:ind w:left="3600" w:hanging="360"/>
      </w:pPr>
      <w:rPr>
        <w:rFonts w:ascii="Arial" w:hAnsi="Arial" w:hint="default"/>
      </w:rPr>
    </w:lvl>
    <w:lvl w:ilvl="5" w:tplc="F72E4A00" w:tentative="1">
      <w:start w:val="1"/>
      <w:numFmt w:val="bullet"/>
      <w:lvlText w:val="•"/>
      <w:lvlJc w:val="left"/>
      <w:pPr>
        <w:tabs>
          <w:tab w:val="num" w:pos="4320"/>
        </w:tabs>
        <w:ind w:left="4320" w:hanging="360"/>
      </w:pPr>
      <w:rPr>
        <w:rFonts w:ascii="Arial" w:hAnsi="Arial" w:hint="default"/>
      </w:rPr>
    </w:lvl>
    <w:lvl w:ilvl="6" w:tplc="5AC6F2DC" w:tentative="1">
      <w:start w:val="1"/>
      <w:numFmt w:val="bullet"/>
      <w:lvlText w:val="•"/>
      <w:lvlJc w:val="left"/>
      <w:pPr>
        <w:tabs>
          <w:tab w:val="num" w:pos="5040"/>
        </w:tabs>
        <w:ind w:left="5040" w:hanging="360"/>
      </w:pPr>
      <w:rPr>
        <w:rFonts w:ascii="Arial" w:hAnsi="Arial" w:hint="default"/>
      </w:rPr>
    </w:lvl>
    <w:lvl w:ilvl="7" w:tplc="A4D623E2" w:tentative="1">
      <w:start w:val="1"/>
      <w:numFmt w:val="bullet"/>
      <w:lvlText w:val="•"/>
      <w:lvlJc w:val="left"/>
      <w:pPr>
        <w:tabs>
          <w:tab w:val="num" w:pos="5760"/>
        </w:tabs>
        <w:ind w:left="5760" w:hanging="360"/>
      </w:pPr>
      <w:rPr>
        <w:rFonts w:ascii="Arial" w:hAnsi="Arial" w:hint="default"/>
      </w:rPr>
    </w:lvl>
    <w:lvl w:ilvl="8" w:tplc="EA1CF1A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D095CA0"/>
    <w:multiLevelType w:val="multilevel"/>
    <w:tmpl w:val="D890CA2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864" w:hanging="864"/>
      </w:pPr>
      <w:rPr>
        <w:rFonts w:hint="default"/>
      </w:rPr>
    </w:lvl>
    <w:lvl w:ilvl="2">
      <w:start w:val="1"/>
      <w:numFmt w:val="decimal"/>
      <w:pStyle w:val="Heading3"/>
      <w:lvlText w:val="%1.%2.%3"/>
      <w:lvlJc w:val="left"/>
      <w:pPr>
        <w:ind w:left="864" w:hanging="864"/>
      </w:pPr>
      <w:rPr>
        <w:rFonts w:hint="default"/>
      </w:rPr>
    </w:lvl>
    <w:lvl w:ilvl="3">
      <w:start w:val="1"/>
      <w:numFmt w:val="decimal"/>
      <w:pStyle w:val="Heading4"/>
      <w:lvlText w:val="%1.%2.%3.%4"/>
      <w:lvlJc w:val="left"/>
      <w:pPr>
        <w:ind w:left="1008" w:hanging="1008"/>
      </w:pPr>
      <w:rPr>
        <w:rFonts w:hint="default"/>
      </w:rPr>
    </w:lvl>
    <w:lvl w:ilvl="4">
      <w:start w:val="1"/>
      <w:numFmt w:val="decimal"/>
      <w:pStyle w:val="Heading5"/>
      <w:lvlText w:val="%1.%2.%3.%4.%5"/>
      <w:lvlJc w:val="left"/>
      <w:pPr>
        <w:ind w:left="1152" w:hanging="1152"/>
      </w:pPr>
      <w:rPr>
        <w:rFonts w:hint="default"/>
      </w:rPr>
    </w:lvl>
    <w:lvl w:ilvl="5">
      <w:start w:val="1"/>
      <w:numFmt w:val="decimal"/>
      <w:pStyle w:val="Heading6"/>
      <w:lvlText w:val="%1.%2.%3.%4.%5.%6"/>
      <w:lvlJc w:val="left"/>
      <w:pPr>
        <w:ind w:left="1296" w:hanging="1296"/>
      </w:pPr>
      <w:rPr>
        <w:rFonts w:hint="default"/>
      </w:rPr>
    </w:lvl>
    <w:lvl w:ilvl="6">
      <w:start w:val="1"/>
      <w:numFmt w:val="decimal"/>
      <w:pStyle w:val="Heading7"/>
      <w:lvlText w:val="%1.%2.%3.%4.%5.%6.%7"/>
      <w:lvlJc w:val="left"/>
      <w:pPr>
        <w:ind w:left="1440" w:hanging="1440"/>
      </w:pPr>
      <w:rPr>
        <w:rFonts w:hint="default"/>
      </w:rPr>
    </w:lvl>
    <w:lvl w:ilvl="7">
      <w:start w:val="1"/>
      <w:numFmt w:val="decimal"/>
      <w:pStyle w:val="Heading8"/>
      <w:lvlText w:val="%1.%2.%3.%4.%5.%6.%7.%8"/>
      <w:lvlJc w:val="left"/>
      <w:pPr>
        <w:ind w:left="1584" w:hanging="1584"/>
      </w:pPr>
      <w:rPr>
        <w:rFonts w:hint="default"/>
      </w:rPr>
    </w:lvl>
    <w:lvl w:ilvl="8">
      <w:start w:val="1"/>
      <w:numFmt w:val="decimal"/>
      <w:pStyle w:val="Heading9"/>
      <w:lvlText w:val="%1.%2.%3.%4.%5.%6.%7.%8.%9"/>
      <w:lvlJc w:val="left"/>
      <w:pPr>
        <w:ind w:left="1728" w:hanging="1728"/>
      </w:pPr>
      <w:rPr>
        <w:rFonts w:hint="default"/>
      </w:rPr>
    </w:lvl>
  </w:abstractNum>
  <w:abstractNum w:abstractNumId="8" w15:restartNumberingAfterBreak="0">
    <w:nsid w:val="3CA54D90"/>
    <w:multiLevelType w:val="hybridMultilevel"/>
    <w:tmpl w:val="BCFA4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65684D"/>
    <w:multiLevelType w:val="hybridMultilevel"/>
    <w:tmpl w:val="52DC35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E944C2"/>
    <w:multiLevelType w:val="hybridMultilevel"/>
    <w:tmpl w:val="5BA8B0BC"/>
    <w:lvl w:ilvl="0" w:tplc="ACD4B4B8">
      <w:start w:val="1"/>
      <w:numFmt w:val="bullet"/>
      <w:pStyle w:val="CROMSInstructionalTex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1117D4"/>
    <w:multiLevelType w:val="hybridMultilevel"/>
    <w:tmpl w:val="A372C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2F2365"/>
    <w:multiLevelType w:val="hybridMultilevel"/>
    <w:tmpl w:val="F03A6FB0"/>
    <w:lvl w:ilvl="0" w:tplc="04090001">
      <w:start w:val="1"/>
      <w:numFmt w:val="bullet"/>
      <w:lvlText w:val=""/>
      <w:lvlJc w:val="left"/>
      <w:pPr>
        <w:tabs>
          <w:tab w:val="num" w:pos="720"/>
        </w:tabs>
        <w:ind w:left="720" w:hanging="360"/>
      </w:pPr>
      <w:rPr>
        <w:rFonts w:ascii="Symbol" w:hAnsi="Symbol" w:hint="default"/>
      </w:rPr>
    </w:lvl>
    <w:lvl w:ilvl="1" w:tplc="4E408532" w:tentative="1">
      <w:start w:val="1"/>
      <w:numFmt w:val="bullet"/>
      <w:lvlText w:val="•"/>
      <w:lvlJc w:val="left"/>
      <w:pPr>
        <w:tabs>
          <w:tab w:val="num" w:pos="1440"/>
        </w:tabs>
        <w:ind w:left="1440" w:hanging="360"/>
      </w:pPr>
      <w:rPr>
        <w:rFonts w:ascii="Arial" w:hAnsi="Arial" w:hint="default"/>
      </w:rPr>
    </w:lvl>
    <w:lvl w:ilvl="2" w:tplc="54F0D434" w:tentative="1">
      <w:start w:val="1"/>
      <w:numFmt w:val="bullet"/>
      <w:lvlText w:val="•"/>
      <w:lvlJc w:val="left"/>
      <w:pPr>
        <w:tabs>
          <w:tab w:val="num" w:pos="2160"/>
        </w:tabs>
        <w:ind w:left="2160" w:hanging="360"/>
      </w:pPr>
      <w:rPr>
        <w:rFonts w:ascii="Arial" w:hAnsi="Arial" w:hint="default"/>
      </w:rPr>
    </w:lvl>
    <w:lvl w:ilvl="3" w:tplc="8B688D52" w:tentative="1">
      <w:start w:val="1"/>
      <w:numFmt w:val="bullet"/>
      <w:lvlText w:val="•"/>
      <w:lvlJc w:val="left"/>
      <w:pPr>
        <w:tabs>
          <w:tab w:val="num" w:pos="2880"/>
        </w:tabs>
        <w:ind w:left="2880" w:hanging="360"/>
      </w:pPr>
      <w:rPr>
        <w:rFonts w:ascii="Arial" w:hAnsi="Arial" w:hint="default"/>
      </w:rPr>
    </w:lvl>
    <w:lvl w:ilvl="4" w:tplc="F1F49DC4" w:tentative="1">
      <w:start w:val="1"/>
      <w:numFmt w:val="bullet"/>
      <w:lvlText w:val="•"/>
      <w:lvlJc w:val="left"/>
      <w:pPr>
        <w:tabs>
          <w:tab w:val="num" w:pos="3600"/>
        </w:tabs>
        <w:ind w:left="3600" w:hanging="360"/>
      </w:pPr>
      <w:rPr>
        <w:rFonts w:ascii="Arial" w:hAnsi="Arial" w:hint="default"/>
      </w:rPr>
    </w:lvl>
    <w:lvl w:ilvl="5" w:tplc="09EC09AC" w:tentative="1">
      <w:start w:val="1"/>
      <w:numFmt w:val="bullet"/>
      <w:lvlText w:val="•"/>
      <w:lvlJc w:val="left"/>
      <w:pPr>
        <w:tabs>
          <w:tab w:val="num" w:pos="4320"/>
        </w:tabs>
        <w:ind w:left="4320" w:hanging="360"/>
      </w:pPr>
      <w:rPr>
        <w:rFonts w:ascii="Arial" w:hAnsi="Arial" w:hint="default"/>
      </w:rPr>
    </w:lvl>
    <w:lvl w:ilvl="6" w:tplc="75A813AE" w:tentative="1">
      <w:start w:val="1"/>
      <w:numFmt w:val="bullet"/>
      <w:lvlText w:val="•"/>
      <w:lvlJc w:val="left"/>
      <w:pPr>
        <w:tabs>
          <w:tab w:val="num" w:pos="5040"/>
        </w:tabs>
        <w:ind w:left="5040" w:hanging="360"/>
      </w:pPr>
      <w:rPr>
        <w:rFonts w:ascii="Arial" w:hAnsi="Arial" w:hint="default"/>
      </w:rPr>
    </w:lvl>
    <w:lvl w:ilvl="7" w:tplc="4622FCD8" w:tentative="1">
      <w:start w:val="1"/>
      <w:numFmt w:val="bullet"/>
      <w:lvlText w:val="•"/>
      <w:lvlJc w:val="left"/>
      <w:pPr>
        <w:tabs>
          <w:tab w:val="num" w:pos="5760"/>
        </w:tabs>
        <w:ind w:left="5760" w:hanging="360"/>
      </w:pPr>
      <w:rPr>
        <w:rFonts w:ascii="Arial" w:hAnsi="Arial" w:hint="default"/>
      </w:rPr>
    </w:lvl>
    <w:lvl w:ilvl="8" w:tplc="A3B4AA5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1182609"/>
    <w:multiLevelType w:val="hybridMultilevel"/>
    <w:tmpl w:val="B490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AF2F5C"/>
    <w:multiLevelType w:val="hybridMultilevel"/>
    <w:tmpl w:val="8A00864A"/>
    <w:lvl w:ilvl="0" w:tplc="F60CC9B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
      <w:lvlJc w:val="left"/>
      <w:pPr>
        <w:tabs>
          <w:tab w:val="num" w:pos="2160"/>
        </w:tabs>
        <w:ind w:left="2160" w:hanging="360"/>
      </w:pPr>
      <w:rPr>
        <w:rFonts w:ascii="Arial" w:hAnsi="Arial" w:hint="default"/>
      </w:rPr>
    </w:lvl>
    <w:lvl w:ilvl="2" w:tplc="04090005" w:tentative="1">
      <w:start w:val="1"/>
      <w:numFmt w:val="bullet"/>
      <w:lvlText w:val="•"/>
      <w:lvlJc w:val="left"/>
      <w:pPr>
        <w:tabs>
          <w:tab w:val="num" w:pos="2880"/>
        </w:tabs>
        <w:ind w:left="2880" w:hanging="360"/>
      </w:pPr>
      <w:rPr>
        <w:rFonts w:ascii="Arial" w:hAnsi="Arial" w:hint="default"/>
      </w:rPr>
    </w:lvl>
    <w:lvl w:ilvl="3" w:tplc="04090001" w:tentative="1">
      <w:start w:val="1"/>
      <w:numFmt w:val="bullet"/>
      <w:lvlText w:val="•"/>
      <w:lvlJc w:val="left"/>
      <w:pPr>
        <w:tabs>
          <w:tab w:val="num" w:pos="3600"/>
        </w:tabs>
        <w:ind w:left="3600" w:hanging="360"/>
      </w:pPr>
      <w:rPr>
        <w:rFonts w:ascii="Arial" w:hAnsi="Arial" w:hint="default"/>
      </w:rPr>
    </w:lvl>
    <w:lvl w:ilvl="4" w:tplc="04090003" w:tentative="1">
      <w:start w:val="1"/>
      <w:numFmt w:val="bullet"/>
      <w:lvlText w:val="•"/>
      <w:lvlJc w:val="left"/>
      <w:pPr>
        <w:tabs>
          <w:tab w:val="num" w:pos="4320"/>
        </w:tabs>
        <w:ind w:left="4320" w:hanging="360"/>
      </w:pPr>
      <w:rPr>
        <w:rFonts w:ascii="Arial" w:hAnsi="Arial" w:hint="default"/>
      </w:rPr>
    </w:lvl>
    <w:lvl w:ilvl="5" w:tplc="04090005" w:tentative="1">
      <w:start w:val="1"/>
      <w:numFmt w:val="bullet"/>
      <w:lvlText w:val="•"/>
      <w:lvlJc w:val="left"/>
      <w:pPr>
        <w:tabs>
          <w:tab w:val="num" w:pos="5040"/>
        </w:tabs>
        <w:ind w:left="5040" w:hanging="360"/>
      </w:pPr>
      <w:rPr>
        <w:rFonts w:ascii="Arial" w:hAnsi="Arial" w:hint="default"/>
      </w:rPr>
    </w:lvl>
    <w:lvl w:ilvl="6" w:tplc="04090001" w:tentative="1">
      <w:start w:val="1"/>
      <w:numFmt w:val="bullet"/>
      <w:lvlText w:val="•"/>
      <w:lvlJc w:val="left"/>
      <w:pPr>
        <w:tabs>
          <w:tab w:val="num" w:pos="5760"/>
        </w:tabs>
        <w:ind w:left="5760" w:hanging="360"/>
      </w:pPr>
      <w:rPr>
        <w:rFonts w:ascii="Arial" w:hAnsi="Arial" w:hint="default"/>
      </w:rPr>
    </w:lvl>
    <w:lvl w:ilvl="7" w:tplc="04090003" w:tentative="1">
      <w:start w:val="1"/>
      <w:numFmt w:val="bullet"/>
      <w:lvlText w:val="•"/>
      <w:lvlJc w:val="left"/>
      <w:pPr>
        <w:tabs>
          <w:tab w:val="num" w:pos="6480"/>
        </w:tabs>
        <w:ind w:left="6480" w:hanging="360"/>
      </w:pPr>
      <w:rPr>
        <w:rFonts w:ascii="Arial" w:hAnsi="Arial" w:hint="default"/>
      </w:rPr>
    </w:lvl>
    <w:lvl w:ilvl="8" w:tplc="04090005" w:tentative="1">
      <w:start w:val="1"/>
      <w:numFmt w:val="bullet"/>
      <w:lvlText w:val="•"/>
      <w:lvlJc w:val="left"/>
      <w:pPr>
        <w:tabs>
          <w:tab w:val="num" w:pos="7200"/>
        </w:tabs>
        <w:ind w:left="7200" w:hanging="360"/>
      </w:pPr>
      <w:rPr>
        <w:rFonts w:ascii="Arial" w:hAnsi="Arial" w:hint="default"/>
      </w:rPr>
    </w:lvl>
  </w:abstractNum>
  <w:abstractNum w:abstractNumId="15" w15:restartNumberingAfterBreak="0">
    <w:nsid w:val="7EE45232"/>
    <w:multiLevelType w:val="hybridMultilevel"/>
    <w:tmpl w:val="3C12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4"/>
  </w:num>
  <w:num w:numId="8">
    <w:abstractNumId w:val="6"/>
  </w:num>
  <w:num w:numId="9">
    <w:abstractNumId w:val="12"/>
  </w:num>
  <w:num w:numId="10">
    <w:abstractNumId w:val="13"/>
  </w:num>
  <w:num w:numId="11">
    <w:abstractNumId w:val="15"/>
  </w:num>
  <w:num w:numId="12">
    <w:abstractNumId w:val="10"/>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10"/>
  </w:num>
  <w:num w:numId="23">
    <w:abstractNumId w:val="8"/>
  </w:num>
  <w:num w:numId="24">
    <w:abstractNumId w:val="9"/>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e3c369ff-7deb-4dad-b2f7-1cc01b93ff02"/>
  </w:docVars>
  <w:rsids>
    <w:rsidRoot w:val="009A6D77"/>
    <w:rsid w:val="00001736"/>
    <w:rsid w:val="000020BF"/>
    <w:rsid w:val="00011524"/>
    <w:rsid w:val="00012A8E"/>
    <w:rsid w:val="000520BE"/>
    <w:rsid w:val="00054BD4"/>
    <w:rsid w:val="00054C8B"/>
    <w:rsid w:val="00066907"/>
    <w:rsid w:val="000714D8"/>
    <w:rsid w:val="00071A1F"/>
    <w:rsid w:val="00091316"/>
    <w:rsid w:val="000957AF"/>
    <w:rsid w:val="000B1E97"/>
    <w:rsid w:val="000E3E7B"/>
    <w:rsid w:val="000F4D02"/>
    <w:rsid w:val="000F539E"/>
    <w:rsid w:val="000F54BC"/>
    <w:rsid w:val="001045BB"/>
    <w:rsid w:val="00112F88"/>
    <w:rsid w:val="00113A40"/>
    <w:rsid w:val="001506A2"/>
    <w:rsid w:val="001622E6"/>
    <w:rsid w:val="001653B9"/>
    <w:rsid w:val="001669F0"/>
    <w:rsid w:val="00184A7B"/>
    <w:rsid w:val="00187E8C"/>
    <w:rsid w:val="001A2284"/>
    <w:rsid w:val="001A30C0"/>
    <w:rsid w:val="001B7984"/>
    <w:rsid w:val="001C6420"/>
    <w:rsid w:val="001E25B6"/>
    <w:rsid w:val="001E422F"/>
    <w:rsid w:val="00201EFE"/>
    <w:rsid w:val="00205B02"/>
    <w:rsid w:val="00235EE4"/>
    <w:rsid w:val="0024742E"/>
    <w:rsid w:val="00250B6F"/>
    <w:rsid w:val="00254CC8"/>
    <w:rsid w:val="00257016"/>
    <w:rsid w:val="00270580"/>
    <w:rsid w:val="002A5C0A"/>
    <w:rsid w:val="002A61E5"/>
    <w:rsid w:val="002A7434"/>
    <w:rsid w:val="002A7B82"/>
    <w:rsid w:val="002D3C41"/>
    <w:rsid w:val="002E4459"/>
    <w:rsid w:val="002E7BDA"/>
    <w:rsid w:val="002F1EA8"/>
    <w:rsid w:val="00322430"/>
    <w:rsid w:val="0032318B"/>
    <w:rsid w:val="00333225"/>
    <w:rsid w:val="003620C2"/>
    <w:rsid w:val="00384C4E"/>
    <w:rsid w:val="003A3A0A"/>
    <w:rsid w:val="003A4BEC"/>
    <w:rsid w:val="003B57BC"/>
    <w:rsid w:val="003B57C9"/>
    <w:rsid w:val="003B7BDB"/>
    <w:rsid w:val="003D6DAF"/>
    <w:rsid w:val="003E7C5F"/>
    <w:rsid w:val="003F531A"/>
    <w:rsid w:val="003F5FBF"/>
    <w:rsid w:val="004005DF"/>
    <w:rsid w:val="00402715"/>
    <w:rsid w:val="004030EC"/>
    <w:rsid w:val="0043452C"/>
    <w:rsid w:val="00434782"/>
    <w:rsid w:val="00450020"/>
    <w:rsid w:val="00464218"/>
    <w:rsid w:val="0046673F"/>
    <w:rsid w:val="00480C55"/>
    <w:rsid w:val="00496E3F"/>
    <w:rsid w:val="004C38D3"/>
    <w:rsid w:val="004F4621"/>
    <w:rsid w:val="004F5E9F"/>
    <w:rsid w:val="004F6208"/>
    <w:rsid w:val="0050788C"/>
    <w:rsid w:val="00514C71"/>
    <w:rsid w:val="00531B0C"/>
    <w:rsid w:val="0053512F"/>
    <w:rsid w:val="005416AB"/>
    <w:rsid w:val="00556D5C"/>
    <w:rsid w:val="005866B9"/>
    <w:rsid w:val="005906A2"/>
    <w:rsid w:val="005918C6"/>
    <w:rsid w:val="005B22E2"/>
    <w:rsid w:val="005B53B3"/>
    <w:rsid w:val="005B6B11"/>
    <w:rsid w:val="005C1FC2"/>
    <w:rsid w:val="005F1357"/>
    <w:rsid w:val="00624296"/>
    <w:rsid w:val="00624FAA"/>
    <w:rsid w:val="00632626"/>
    <w:rsid w:val="0064548F"/>
    <w:rsid w:val="0065156E"/>
    <w:rsid w:val="006633E3"/>
    <w:rsid w:val="00670773"/>
    <w:rsid w:val="006725B0"/>
    <w:rsid w:val="006758D8"/>
    <w:rsid w:val="00676116"/>
    <w:rsid w:val="00676754"/>
    <w:rsid w:val="006F2427"/>
    <w:rsid w:val="007176D0"/>
    <w:rsid w:val="00723ACD"/>
    <w:rsid w:val="00723B3E"/>
    <w:rsid w:val="0073625E"/>
    <w:rsid w:val="0076166C"/>
    <w:rsid w:val="0076461D"/>
    <w:rsid w:val="00764E6D"/>
    <w:rsid w:val="007650EF"/>
    <w:rsid w:val="00767917"/>
    <w:rsid w:val="00767968"/>
    <w:rsid w:val="00776240"/>
    <w:rsid w:val="00790815"/>
    <w:rsid w:val="0079153D"/>
    <w:rsid w:val="007A05E1"/>
    <w:rsid w:val="007A475E"/>
    <w:rsid w:val="007A573E"/>
    <w:rsid w:val="007B16F4"/>
    <w:rsid w:val="007C2E27"/>
    <w:rsid w:val="007D1D19"/>
    <w:rsid w:val="007E0D55"/>
    <w:rsid w:val="007E34D9"/>
    <w:rsid w:val="007E7A02"/>
    <w:rsid w:val="007F3418"/>
    <w:rsid w:val="00800D4C"/>
    <w:rsid w:val="008067DC"/>
    <w:rsid w:val="00807A88"/>
    <w:rsid w:val="008129D1"/>
    <w:rsid w:val="00821BA5"/>
    <w:rsid w:val="008303D6"/>
    <w:rsid w:val="00835C53"/>
    <w:rsid w:val="00870BD2"/>
    <w:rsid w:val="008734CC"/>
    <w:rsid w:val="00882140"/>
    <w:rsid w:val="008B5DEB"/>
    <w:rsid w:val="008D6E3E"/>
    <w:rsid w:val="008D7930"/>
    <w:rsid w:val="008E0F84"/>
    <w:rsid w:val="008E330A"/>
    <w:rsid w:val="00913A3E"/>
    <w:rsid w:val="00915F82"/>
    <w:rsid w:val="00921520"/>
    <w:rsid w:val="00926C2D"/>
    <w:rsid w:val="00936E42"/>
    <w:rsid w:val="00947DED"/>
    <w:rsid w:val="009531D9"/>
    <w:rsid w:val="00970EC2"/>
    <w:rsid w:val="00976AE1"/>
    <w:rsid w:val="0099608D"/>
    <w:rsid w:val="00997233"/>
    <w:rsid w:val="009A1697"/>
    <w:rsid w:val="009A6D77"/>
    <w:rsid w:val="009C7101"/>
    <w:rsid w:val="009D0899"/>
    <w:rsid w:val="009E178A"/>
    <w:rsid w:val="009E5AA7"/>
    <w:rsid w:val="00A11E94"/>
    <w:rsid w:val="00A161D5"/>
    <w:rsid w:val="00A16E75"/>
    <w:rsid w:val="00A1736B"/>
    <w:rsid w:val="00A26EFD"/>
    <w:rsid w:val="00A32AFB"/>
    <w:rsid w:val="00A34181"/>
    <w:rsid w:val="00A35189"/>
    <w:rsid w:val="00A408D1"/>
    <w:rsid w:val="00A4146D"/>
    <w:rsid w:val="00A47D5D"/>
    <w:rsid w:val="00A5208C"/>
    <w:rsid w:val="00A6185A"/>
    <w:rsid w:val="00A65226"/>
    <w:rsid w:val="00A656DE"/>
    <w:rsid w:val="00A664EF"/>
    <w:rsid w:val="00A66A8A"/>
    <w:rsid w:val="00A93AD1"/>
    <w:rsid w:val="00AD4841"/>
    <w:rsid w:val="00AE0887"/>
    <w:rsid w:val="00AF67BF"/>
    <w:rsid w:val="00B00516"/>
    <w:rsid w:val="00B03B15"/>
    <w:rsid w:val="00B0435E"/>
    <w:rsid w:val="00B04CE6"/>
    <w:rsid w:val="00B16FF4"/>
    <w:rsid w:val="00B17432"/>
    <w:rsid w:val="00B26B08"/>
    <w:rsid w:val="00B26DA3"/>
    <w:rsid w:val="00B52AEB"/>
    <w:rsid w:val="00BA4CDB"/>
    <w:rsid w:val="00BC7987"/>
    <w:rsid w:val="00BD2A02"/>
    <w:rsid w:val="00BD330F"/>
    <w:rsid w:val="00BE6012"/>
    <w:rsid w:val="00BF0590"/>
    <w:rsid w:val="00C04199"/>
    <w:rsid w:val="00C145D9"/>
    <w:rsid w:val="00C20447"/>
    <w:rsid w:val="00C2173F"/>
    <w:rsid w:val="00C22B0F"/>
    <w:rsid w:val="00C55EFB"/>
    <w:rsid w:val="00C57FCD"/>
    <w:rsid w:val="00C704B6"/>
    <w:rsid w:val="00C74056"/>
    <w:rsid w:val="00C80D72"/>
    <w:rsid w:val="00C95969"/>
    <w:rsid w:val="00C95B67"/>
    <w:rsid w:val="00CA24E6"/>
    <w:rsid w:val="00CA4EB1"/>
    <w:rsid w:val="00CA7121"/>
    <w:rsid w:val="00CB030F"/>
    <w:rsid w:val="00CC1CA0"/>
    <w:rsid w:val="00CC713D"/>
    <w:rsid w:val="00CD3131"/>
    <w:rsid w:val="00CE2CC7"/>
    <w:rsid w:val="00CF27FE"/>
    <w:rsid w:val="00D016A2"/>
    <w:rsid w:val="00D036DB"/>
    <w:rsid w:val="00D047F6"/>
    <w:rsid w:val="00D06814"/>
    <w:rsid w:val="00D11354"/>
    <w:rsid w:val="00D22597"/>
    <w:rsid w:val="00D25B30"/>
    <w:rsid w:val="00D36120"/>
    <w:rsid w:val="00D41840"/>
    <w:rsid w:val="00D5243B"/>
    <w:rsid w:val="00D70FA6"/>
    <w:rsid w:val="00D73A5D"/>
    <w:rsid w:val="00D967F0"/>
    <w:rsid w:val="00DE05F2"/>
    <w:rsid w:val="00E022AE"/>
    <w:rsid w:val="00E0465D"/>
    <w:rsid w:val="00E07AC1"/>
    <w:rsid w:val="00E306F5"/>
    <w:rsid w:val="00E31598"/>
    <w:rsid w:val="00E570F7"/>
    <w:rsid w:val="00E578E8"/>
    <w:rsid w:val="00E64EFA"/>
    <w:rsid w:val="00E662E3"/>
    <w:rsid w:val="00E76E38"/>
    <w:rsid w:val="00E959F1"/>
    <w:rsid w:val="00EA5F2E"/>
    <w:rsid w:val="00EC53FD"/>
    <w:rsid w:val="00EC553A"/>
    <w:rsid w:val="00EF2DE7"/>
    <w:rsid w:val="00EF5EE7"/>
    <w:rsid w:val="00EF73D5"/>
    <w:rsid w:val="00F02B55"/>
    <w:rsid w:val="00F310C8"/>
    <w:rsid w:val="00F3504A"/>
    <w:rsid w:val="00F40F93"/>
    <w:rsid w:val="00F430CA"/>
    <w:rsid w:val="00F737F0"/>
    <w:rsid w:val="00F92AE7"/>
    <w:rsid w:val="00FB06CB"/>
    <w:rsid w:val="00FC1400"/>
    <w:rsid w:val="00FC4DCE"/>
    <w:rsid w:val="00FD1F7A"/>
    <w:rsid w:val="00FE0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719242"/>
  <w15:docId w15:val="{13E04080-27DC-4AC0-8302-DA1076D0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iPriority="2" w:unhideWhenUsed="1" w:qFormat="1"/>
    <w:lsdException w:name="heading 4" w:semiHidden="1" w:uiPriority="3" w:unhideWhenUsed="1" w:qFormat="1"/>
    <w:lsdException w:name="heading 5" w:semiHidden="1" w:uiPriority="4" w:unhideWhenUsed="1" w:qFormat="1"/>
    <w:lsdException w:name="heading 6" w:semiHidden="1" w:unhideWhenUsed="1" w:qFormat="1"/>
    <w:lsdException w:name="heading 7" w:semiHidden="1" w:uiPriority="6" w:unhideWhenUsed="1" w:qFormat="1"/>
    <w:lsdException w:name="heading 8" w:semiHidden="1" w:uiPriority="7"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67F0"/>
    <w:pPr>
      <w:spacing w:line="274" w:lineRule="auto"/>
    </w:pPr>
    <w:rPr>
      <w:rFonts w:ascii="Arial" w:hAnsi="Arial"/>
      <w:sz w:val="22"/>
      <w:lang w:eastAsia="en-US"/>
    </w:rPr>
  </w:style>
  <w:style w:type="paragraph" w:styleId="Heading1">
    <w:name w:val="heading 1"/>
    <w:aliases w:val="CROMS_Heading 1"/>
    <w:basedOn w:val="CROMSText"/>
    <w:next w:val="CROMSText"/>
    <w:autoRedefine/>
    <w:qFormat/>
    <w:rsid w:val="00FE07B3"/>
    <w:pPr>
      <w:keepNext/>
      <w:numPr>
        <w:numId w:val="21"/>
      </w:numPr>
      <w:spacing w:before="240" w:after="120" w:line="360" w:lineRule="auto"/>
      <w:outlineLvl w:val="0"/>
    </w:pPr>
    <w:rPr>
      <w:rFonts w:eastAsia="Times New Roman" w:cs="Arial"/>
      <w:b/>
      <w:bCs/>
      <w:caps/>
      <w:kern w:val="32"/>
      <w:szCs w:val="32"/>
    </w:rPr>
  </w:style>
  <w:style w:type="paragraph" w:styleId="Heading2">
    <w:name w:val="heading 2"/>
    <w:aliases w:val="CROMS_Heading 2"/>
    <w:basedOn w:val="Normal"/>
    <w:next w:val="CROMSText"/>
    <w:link w:val="Heading2Char"/>
    <w:qFormat/>
    <w:rsid w:val="00FE07B3"/>
    <w:pPr>
      <w:keepNext/>
      <w:numPr>
        <w:ilvl w:val="1"/>
        <w:numId w:val="21"/>
      </w:numPr>
      <w:spacing w:before="120" w:line="360" w:lineRule="auto"/>
      <w:outlineLvl w:val="1"/>
    </w:pPr>
    <w:rPr>
      <w:b/>
      <w:iCs/>
      <w:kern w:val="32"/>
      <w:sz w:val="24"/>
      <w:szCs w:val="28"/>
      <w:lang w:val="x-none" w:eastAsia="x-none"/>
    </w:rPr>
  </w:style>
  <w:style w:type="paragraph" w:styleId="Heading3">
    <w:name w:val="heading 3"/>
    <w:aliases w:val="CROMS_Heading 3"/>
    <w:basedOn w:val="Heading2"/>
    <w:next w:val="CROMSText"/>
    <w:link w:val="Heading3Char"/>
    <w:uiPriority w:val="2"/>
    <w:qFormat/>
    <w:rsid w:val="00D967F0"/>
    <w:pPr>
      <w:numPr>
        <w:ilvl w:val="2"/>
      </w:numPr>
      <w:outlineLvl w:val="2"/>
    </w:pPr>
    <w:rPr>
      <w:bCs/>
      <w:i/>
      <w:szCs w:val="26"/>
    </w:rPr>
  </w:style>
  <w:style w:type="paragraph" w:styleId="Heading4">
    <w:name w:val="heading 4"/>
    <w:aliases w:val="CROMS_Heading 4"/>
    <w:basedOn w:val="Heading3"/>
    <w:next w:val="CROMSText"/>
    <w:link w:val="Heading4Char"/>
    <w:uiPriority w:val="3"/>
    <w:qFormat/>
    <w:rsid w:val="00D967F0"/>
    <w:pPr>
      <w:numPr>
        <w:ilvl w:val="3"/>
      </w:numPr>
      <w:outlineLvl w:val="3"/>
    </w:pPr>
    <w:rPr>
      <w:b w:val="0"/>
      <w:bCs w:val="0"/>
      <w:i w:val="0"/>
      <w:szCs w:val="28"/>
      <w:u w:val="single"/>
    </w:rPr>
  </w:style>
  <w:style w:type="paragraph" w:styleId="Heading5">
    <w:name w:val="heading 5"/>
    <w:aliases w:val="CROMS_Heading 5"/>
    <w:basedOn w:val="Heading4"/>
    <w:next w:val="CROMSText"/>
    <w:link w:val="Heading5Char"/>
    <w:uiPriority w:val="4"/>
    <w:qFormat/>
    <w:rsid w:val="00D967F0"/>
    <w:pPr>
      <w:numPr>
        <w:ilvl w:val="4"/>
      </w:numPr>
      <w:outlineLvl w:val="4"/>
    </w:pPr>
    <w:rPr>
      <w:bCs/>
      <w:i/>
      <w:iCs w:val="0"/>
      <w:szCs w:val="26"/>
      <w:u w:val="none"/>
    </w:rPr>
  </w:style>
  <w:style w:type="paragraph" w:styleId="Heading6">
    <w:name w:val="heading 6"/>
    <w:aliases w:val="CROMS_Heading 6"/>
    <w:basedOn w:val="Heading5"/>
    <w:next w:val="CROMSText"/>
    <w:link w:val="Heading6Char"/>
    <w:qFormat/>
    <w:rsid w:val="00D967F0"/>
    <w:pPr>
      <w:numPr>
        <w:ilvl w:val="5"/>
      </w:numPr>
      <w:outlineLvl w:val="5"/>
    </w:pPr>
    <w:rPr>
      <w:b/>
      <w:u w:val="single"/>
    </w:rPr>
  </w:style>
  <w:style w:type="paragraph" w:styleId="Heading7">
    <w:name w:val="heading 7"/>
    <w:aliases w:val="CROMS_Heading 7"/>
    <w:basedOn w:val="Heading6"/>
    <w:next w:val="CROMSText"/>
    <w:link w:val="Heading7Char"/>
    <w:uiPriority w:val="6"/>
    <w:qFormat/>
    <w:rsid w:val="00D967F0"/>
    <w:pPr>
      <w:numPr>
        <w:ilvl w:val="6"/>
      </w:numPr>
      <w:outlineLvl w:val="6"/>
    </w:pPr>
    <w:rPr>
      <w:szCs w:val="24"/>
      <w:u w:val="none"/>
    </w:rPr>
  </w:style>
  <w:style w:type="paragraph" w:styleId="Heading8">
    <w:name w:val="heading 8"/>
    <w:aliases w:val="CROMS_Heading 8"/>
    <w:basedOn w:val="Heading7"/>
    <w:next w:val="CROMSText"/>
    <w:link w:val="Heading8Char"/>
    <w:uiPriority w:val="7"/>
    <w:qFormat/>
    <w:rsid w:val="00D967F0"/>
    <w:pPr>
      <w:numPr>
        <w:ilvl w:val="7"/>
      </w:numPr>
      <w:outlineLvl w:val="7"/>
    </w:pPr>
    <w:rPr>
      <w:i w:val="0"/>
      <w:iCs/>
      <w:sz w:val="20"/>
    </w:rPr>
  </w:style>
  <w:style w:type="paragraph" w:styleId="Heading9">
    <w:name w:val="heading 9"/>
    <w:aliases w:val="CROMS_Heading 9"/>
    <w:basedOn w:val="Heading8"/>
    <w:next w:val="CROMSText"/>
    <w:link w:val="Heading9Char"/>
    <w:uiPriority w:val="8"/>
    <w:qFormat/>
    <w:rsid w:val="00D967F0"/>
    <w:pPr>
      <w:numPr>
        <w:ilvl w:val="8"/>
      </w:numPr>
      <w:outlineLvl w:val="8"/>
    </w:pPr>
    <w:rPr>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0020"/>
    <w:pPr>
      <w:tabs>
        <w:tab w:val="center" w:pos="4320"/>
        <w:tab w:val="right" w:pos="8640"/>
      </w:tabs>
    </w:pPr>
    <w:rPr>
      <w:rFonts w:ascii="Times New Roman" w:hAnsi="Times New Roman"/>
      <w:sz w:val="24"/>
      <w:lang w:val="x-none" w:eastAsia="x-none"/>
    </w:rPr>
  </w:style>
  <w:style w:type="paragraph" w:styleId="Footer">
    <w:name w:val="footer"/>
    <w:basedOn w:val="Normal"/>
    <w:link w:val="FooterChar"/>
    <w:uiPriority w:val="99"/>
    <w:rsid w:val="00450020"/>
    <w:pPr>
      <w:tabs>
        <w:tab w:val="center" w:pos="4320"/>
        <w:tab w:val="right" w:pos="8640"/>
      </w:tabs>
    </w:pPr>
    <w:rPr>
      <w:rFonts w:ascii="Times New Roman" w:hAnsi="Times New Roman"/>
      <w:sz w:val="24"/>
      <w:lang w:val="x-none" w:eastAsia="x-none"/>
    </w:rPr>
  </w:style>
  <w:style w:type="paragraph" w:styleId="BodyText">
    <w:name w:val="Body Text"/>
    <w:basedOn w:val="Normal"/>
    <w:rsid w:val="00450020"/>
    <w:pPr>
      <w:spacing w:before="120" w:after="120"/>
    </w:pPr>
    <w:rPr>
      <w:sz w:val="24"/>
    </w:rPr>
  </w:style>
  <w:style w:type="paragraph" w:styleId="BalloonText">
    <w:name w:val="Balloon Text"/>
    <w:basedOn w:val="Normal"/>
    <w:link w:val="BalloonTextChar"/>
    <w:rsid w:val="00205B02"/>
    <w:rPr>
      <w:rFonts w:ascii="Tahoma" w:hAnsi="Tahoma"/>
      <w:sz w:val="16"/>
      <w:szCs w:val="16"/>
      <w:lang w:val="x-none" w:eastAsia="x-none"/>
    </w:rPr>
  </w:style>
  <w:style w:type="character" w:customStyle="1" w:styleId="BalloonTextChar">
    <w:name w:val="Balloon Text Char"/>
    <w:link w:val="BalloonText"/>
    <w:rsid w:val="00205B02"/>
    <w:rPr>
      <w:rFonts w:ascii="Tahoma" w:hAnsi="Tahoma" w:cs="Tahoma"/>
      <w:sz w:val="16"/>
      <w:szCs w:val="16"/>
    </w:rPr>
  </w:style>
  <w:style w:type="character" w:customStyle="1" w:styleId="FooterChar">
    <w:name w:val="Footer Char"/>
    <w:link w:val="Footer"/>
    <w:uiPriority w:val="99"/>
    <w:rsid w:val="00205B02"/>
    <w:rPr>
      <w:sz w:val="24"/>
    </w:rPr>
  </w:style>
  <w:style w:type="paragraph" w:customStyle="1" w:styleId="InsideAddressName">
    <w:name w:val="Inside Address Name"/>
    <w:basedOn w:val="Normal"/>
    <w:rsid w:val="001506A2"/>
  </w:style>
  <w:style w:type="paragraph" w:customStyle="1" w:styleId="SubjectLine">
    <w:name w:val="Subject Line"/>
    <w:basedOn w:val="Normal"/>
    <w:rsid w:val="00A656DE"/>
  </w:style>
  <w:style w:type="character" w:styleId="Hyperlink">
    <w:name w:val="Hyperlink"/>
    <w:rsid w:val="00723ACD"/>
    <w:rPr>
      <w:color w:val="0000FF"/>
      <w:u w:val="single"/>
    </w:rPr>
  </w:style>
  <w:style w:type="paragraph" w:styleId="PlainText">
    <w:name w:val="Plain Text"/>
    <w:basedOn w:val="Normal"/>
    <w:link w:val="PlainTextChar"/>
    <w:uiPriority w:val="99"/>
    <w:unhideWhenUsed/>
    <w:rsid w:val="00480C55"/>
    <w:rPr>
      <w:rFonts w:ascii="Consolas" w:eastAsia="Calibri" w:hAnsi="Consolas"/>
      <w:sz w:val="21"/>
      <w:szCs w:val="21"/>
      <w:lang w:val="x-none" w:eastAsia="x-none"/>
    </w:rPr>
  </w:style>
  <w:style w:type="character" w:customStyle="1" w:styleId="PlainTextChar">
    <w:name w:val="Plain Text Char"/>
    <w:link w:val="PlainText"/>
    <w:uiPriority w:val="99"/>
    <w:rsid w:val="00480C55"/>
    <w:rPr>
      <w:rFonts w:ascii="Consolas" w:eastAsia="Calibri" w:hAnsi="Consolas" w:cs="Times New Roman"/>
      <w:sz w:val="21"/>
      <w:szCs w:val="21"/>
    </w:rPr>
  </w:style>
  <w:style w:type="character" w:styleId="CommentReference">
    <w:name w:val="annotation reference"/>
    <w:rsid w:val="00D22597"/>
    <w:rPr>
      <w:sz w:val="16"/>
      <w:szCs w:val="16"/>
    </w:rPr>
  </w:style>
  <w:style w:type="paragraph" w:styleId="CommentText">
    <w:name w:val="annotation text"/>
    <w:basedOn w:val="Normal"/>
    <w:link w:val="CommentTextChar"/>
    <w:rsid w:val="00D22597"/>
  </w:style>
  <w:style w:type="character" w:customStyle="1" w:styleId="CommentTextChar">
    <w:name w:val="Comment Text Char"/>
    <w:basedOn w:val="DefaultParagraphFont"/>
    <w:link w:val="CommentText"/>
    <w:rsid w:val="00D22597"/>
  </w:style>
  <w:style w:type="paragraph" w:styleId="CommentSubject">
    <w:name w:val="annotation subject"/>
    <w:basedOn w:val="CommentText"/>
    <w:next w:val="CommentText"/>
    <w:link w:val="CommentSubjectChar"/>
    <w:rsid w:val="00D22597"/>
    <w:rPr>
      <w:rFonts w:ascii="Times New Roman" w:hAnsi="Times New Roman"/>
      <w:b/>
      <w:bCs/>
      <w:sz w:val="20"/>
      <w:lang w:val="x-none" w:eastAsia="x-none"/>
    </w:rPr>
  </w:style>
  <w:style w:type="character" w:customStyle="1" w:styleId="CommentSubjectChar">
    <w:name w:val="Comment Subject Char"/>
    <w:link w:val="CommentSubject"/>
    <w:rsid w:val="00D22597"/>
    <w:rPr>
      <w:b/>
      <w:bCs/>
    </w:rPr>
  </w:style>
  <w:style w:type="paragraph" w:customStyle="1" w:styleId="CROMSText">
    <w:name w:val="CROMS_Text"/>
    <w:basedOn w:val="BodyText"/>
    <w:uiPriority w:val="9"/>
    <w:qFormat/>
    <w:rsid w:val="00D967F0"/>
    <w:pPr>
      <w:spacing w:after="240" w:line="240" w:lineRule="auto"/>
    </w:pPr>
    <w:rPr>
      <w:rFonts w:eastAsia="Calibri"/>
      <w:szCs w:val="22"/>
    </w:rPr>
  </w:style>
  <w:style w:type="paragraph" w:styleId="ListBullet">
    <w:name w:val="List Bullet"/>
    <w:basedOn w:val="Normal"/>
    <w:rsid w:val="00F430CA"/>
    <w:pPr>
      <w:tabs>
        <w:tab w:val="num" w:pos="360"/>
      </w:tabs>
      <w:ind w:left="360" w:hanging="360"/>
      <w:contextualSpacing/>
    </w:pPr>
  </w:style>
  <w:style w:type="paragraph" w:customStyle="1" w:styleId="CROMSTextBullet">
    <w:name w:val="CROMS_Text_Bullet"/>
    <w:basedOn w:val="ListBullet"/>
    <w:qFormat/>
    <w:rsid w:val="00D967F0"/>
    <w:pPr>
      <w:tabs>
        <w:tab w:val="clear" w:pos="360"/>
      </w:tabs>
      <w:spacing w:after="120"/>
      <w:ind w:left="0" w:firstLine="0"/>
      <w:contextualSpacing w:val="0"/>
    </w:pPr>
    <w:rPr>
      <w:sz w:val="24"/>
      <w:szCs w:val="24"/>
    </w:rPr>
  </w:style>
  <w:style w:type="paragraph" w:customStyle="1" w:styleId="CROMSInstruction">
    <w:name w:val="CROMS_Instruction"/>
    <w:basedOn w:val="BodyText"/>
    <w:uiPriority w:val="17"/>
    <w:qFormat/>
    <w:rsid w:val="00F430CA"/>
    <w:rPr>
      <w:i/>
      <w:iCs/>
      <w:color w:val="1F497D"/>
    </w:rPr>
  </w:style>
  <w:style w:type="character" w:customStyle="1" w:styleId="HeaderChar">
    <w:name w:val="Header Char"/>
    <w:link w:val="Header"/>
    <w:uiPriority w:val="99"/>
    <w:rsid w:val="00F430CA"/>
    <w:rPr>
      <w:sz w:val="24"/>
    </w:rPr>
  </w:style>
  <w:style w:type="paragraph" w:customStyle="1" w:styleId="Default">
    <w:name w:val="Default"/>
    <w:rsid w:val="00632626"/>
    <w:pPr>
      <w:autoSpaceDE w:val="0"/>
      <w:autoSpaceDN w:val="0"/>
      <w:adjustRightInd w:val="0"/>
    </w:pPr>
    <w:rPr>
      <w:rFonts w:ascii="Century Schoolbook" w:hAnsi="Century Schoolbook" w:cs="Century Schoolbook"/>
      <w:color w:val="000000"/>
      <w:sz w:val="24"/>
      <w:szCs w:val="24"/>
      <w:lang w:eastAsia="en-US"/>
    </w:rPr>
  </w:style>
  <w:style w:type="paragraph" w:styleId="NormalWeb">
    <w:name w:val="Normal (Web)"/>
    <w:basedOn w:val="Normal"/>
    <w:uiPriority w:val="99"/>
    <w:unhideWhenUsed/>
    <w:rsid w:val="00054BD4"/>
    <w:pPr>
      <w:spacing w:before="100" w:beforeAutospacing="1" w:after="100" w:afterAutospacing="1"/>
    </w:pPr>
    <w:rPr>
      <w:sz w:val="24"/>
      <w:szCs w:val="24"/>
    </w:rPr>
  </w:style>
  <w:style w:type="character" w:styleId="FollowedHyperlink">
    <w:name w:val="FollowedHyperlink"/>
    <w:rsid w:val="00E570F7"/>
    <w:rPr>
      <w:color w:val="800080"/>
      <w:u w:val="single"/>
    </w:rPr>
  </w:style>
  <w:style w:type="paragraph" w:customStyle="1" w:styleId="CROMSTextNumberedListIndentManualNumberingabc">
    <w:name w:val="CROMS_TextNumberedListIndent_ManualNumbering_abc"/>
    <w:basedOn w:val="CROMSTextNumberedListManualNumbering123"/>
    <w:uiPriority w:val="17"/>
    <w:qFormat/>
    <w:rsid w:val="00D967F0"/>
    <w:pPr>
      <w:ind w:left="1296"/>
    </w:pPr>
  </w:style>
  <w:style w:type="paragraph" w:customStyle="1" w:styleId="CROMSTextNumberedListManualNumbering123">
    <w:name w:val="CROMS_TextNumberedList_ManualNumbering_123"/>
    <w:basedOn w:val="Normal"/>
    <w:uiPriority w:val="17"/>
    <w:qFormat/>
    <w:rsid w:val="00D967F0"/>
    <w:pPr>
      <w:tabs>
        <w:tab w:val="left" w:pos="900"/>
      </w:tabs>
      <w:spacing w:before="60" w:after="120" w:line="360" w:lineRule="auto"/>
      <w:ind w:left="864" w:hanging="432"/>
    </w:pPr>
    <w:rPr>
      <w:rFonts w:eastAsia="Calibri"/>
      <w:szCs w:val="22"/>
    </w:rPr>
  </w:style>
  <w:style w:type="paragraph" w:customStyle="1" w:styleId="CROMSInstructionalTextBullets">
    <w:name w:val="CROMS_Instructional Text_Bullets"/>
    <w:basedOn w:val="CROMSInstruction"/>
    <w:qFormat/>
    <w:rsid w:val="00D967F0"/>
    <w:pPr>
      <w:numPr>
        <w:numId w:val="22"/>
      </w:numPr>
      <w:spacing w:line="240" w:lineRule="auto"/>
    </w:pPr>
  </w:style>
  <w:style w:type="paragraph" w:customStyle="1" w:styleId="CROMSFrontMatterHeading1TOC">
    <w:name w:val="CROMS_FrontMatterHeading1(TOC)"/>
    <w:basedOn w:val="CROMSTextNumberedListIndentManualNumberingabc"/>
    <w:next w:val="Normal"/>
    <w:uiPriority w:val="14"/>
    <w:qFormat/>
    <w:rsid w:val="00D967F0"/>
    <w:pPr>
      <w:spacing w:after="240" w:line="240" w:lineRule="auto"/>
      <w:jc w:val="center"/>
      <w:outlineLvl w:val="0"/>
    </w:pPr>
    <w:rPr>
      <w:rFonts w:eastAsia="Times New Roman"/>
      <w:b/>
      <w:bCs/>
      <w:kern w:val="28"/>
      <w:sz w:val="24"/>
      <w:szCs w:val="32"/>
    </w:rPr>
  </w:style>
  <w:style w:type="paragraph" w:customStyle="1" w:styleId="CROMSFrontMatterHeading2">
    <w:name w:val="CROMS_FrontMatterHeading2"/>
    <w:basedOn w:val="CROMSFrontMatterHeading1TOC"/>
    <w:uiPriority w:val="15"/>
    <w:qFormat/>
    <w:rsid w:val="00D967F0"/>
    <w:pPr>
      <w:outlineLvl w:val="9"/>
    </w:pPr>
  </w:style>
  <w:style w:type="paragraph" w:customStyle="1" w:styleId="CROMSFrontMatterText">
    <w:name w:val="CROMS_FrontMatterText"/>
    <w:basedOn w:val="Normal"/>
    <w:uiPriority w:val="15"/>
    <w:qFormat/>
    <w:rsid w:val="00D967F0"/>
    <w:pPr>
      <w:tabs>
        <w:tab w:val="left" w:pos="720"/>
      </w:tabs>
      <w:spacing w:before="240" w:after="120" w:line="240" w:lineRule="auto"/>
    </w:pPr>
    <w:rPr>
      <w:rFonts w:ascii="Times New Roman" w:eastAsia="Calibri" w:hAnsi="Times New Roman"/>
      <w:bCs/>
      <w:sz w:val="24"/>
      <w:szCs w:val="22"/>
    </w:rPr>
  </w:style>
  <w:style w:type="paragraph" w:customStyle="1" w:styleId="CROMSInstructionNumbered">
    <w:name w:val="CROMS_Instruction_Numbered"/>
    <w:basedOn w:val="CROMSTextNumberedListManualNumbering123"/>
    <w:uiPriority w:val="17"/>
    <w:qFormat/>
    <w:rsid w:val="00D967F0"/>
    <w:rPr>
      <w:i/>
      <w:color w:val="1F497D"/>
    </w:rPr>
  </w:style>
  <w:style w:type="paragraph" w:customStyle="1" w:styleId="CROMSList">
    <w:name w:val="CROMS_List"/>
    <w:basedOn w:val="CROMSTextNumberedListManualNumbering123"/>
    <w:uiPriority w:val="17"/>
    <w:qFormat/>
    <w:rsid w:val="00D967F0"/>
    <w:pPr>
      <w:spacing w:before="0" w:after="0"/>
      <w:ind w:left="0" w:firstLine="0"/>
    </w:pPr>
    <w:rPr>
      <w:rFonts w:ascii="Times New (W1)" w:hAnsi="Times New (W1)"/>
    </w:rPr>
  </w:style>
  <w:style w:type="paragraph" w:customStyle="1" w:styleId="CROMSTableParameters">
    <w:name w:val="CROMS_Table_Parameters"/>
    <w:basedOn w:val="CROMSText"/>
    <w:uiPriority w:val="17"/>
    <w:qFormat/>
    <w:rsid w:val="00D967F0"/>
  </w:style>
  <w:style w:type="paragraph" w:customStyle="1" w:styleId="CROMSTextBold">
    <w:name w:val="CROMS_Text_Bold"/>
    <w:basedOn w:val="CROMSText"/>
    <w:uiPriority w:val="17"/>
    <w:qFormat/>
    <w:rsid w:val="00D967F0"/>
    <w:rPr>
      <w:b/>
    </w:rPr>
  </w:style>
  <w:style w:type="paragraph" w:customStyle="1" w:styleId="CROMSTitleRows">
    <w:name w:val="CROMS_Title_Rows"/>
    <w:basedOn w:val="Normal"/>
    <w:uiPriority w:val="17"/>
    <w:qFormat/>
    <w:rsid w:val="00D967F0"/>
    <w:pPr>
      <w:spacing w:before="120" w:after="120" w:line="360" w:lineRule="auto"/>
      <w:jc w:val="right"/>
    </w:pPr>
    <w:rPr>
      <w:rFonts w:eastAsia="Calibri" w:cs="Arial"/>
      <w:b/>
      <w:caps/>
      <w:szCs w:val="24"/>
    </w:rPr>
  </w:style>
  <w:style w:type="character" w:customStyle="1" w:styleId="Heading2Char">
    <w:name w:val="Heading 2 Char"/>
    <w:aliases w:val="CROMS_Heading 2 Char"/>
    <w:link w:val="Heading2"/>
    <w:rsid w:val="00FE07B3"/>
    <w:rPr>
      <w:rFonts w:ascii="Arial" w:hAnsi="Arial" w:cs="Arial"/>
      <w:b/>
      <w:iCs/>
      <w:kern w:val="32"/>
      <w:sz w:val="24"/>
      <w:szCs w:val="28"/>
    </w:rPr>
  </w:style>
  <w:style w:type="character" w:customStyle="1" w:styleId="Heading3Char">
    <w:name w:val="Heading 3 Char"/>
    <w:aliases w:val="CROMS_Heading 3 Char"/>
    <w:link w:val="Heading3"/>
    <w:uiPriority w:val="2"/>
    <w:rsid w:val="00D967F0"/>
    <w:rPr>
      <w:rFonts w:ascii="Arial" w:hAnsi="Arial" w:cs="Arial"/>
      <w:b/>
      <w:bCs/>
      <w:i/>
      <w:iCs/>
      <w:kern w:val="32"/>
      <w:sz w:val="24"/>
      <w:szCs w:val="26"/>
    </w:rPr>
  </w:style>
  <w:style w:type="character" w:customStyle="1" w:styleId="Heading4Char">
    <w:name w:val="Heading 4 Char"/>
    <w:aliases w:val="CROMS_Heading 4 Char"/>
    <w:link w:val="Heading4"/>
    <w:uiPriority w:val="3"/>
    <w:rsid w:val="00D967F0"/>
    <w:rPr>
      <w:rFonts w:ascii="Arial" w:hAnsi="Arial"/>
      <w:iCs/>
      <w:kern w:val="32"/>
      <w:sz w:val="24"/>
      <w:szCs w:val="28"/>
      <w:u w:val="single"/>
    </w:rPr>
  </w:style>
  <w:style w:type="character" w:customStyle="1" w:styleId="Heading5Char">
    <w:name w:val="Heading 5 Char"/>
    <w:aliases w:val="CROMS_Heading 5 Char"/>
    <w:link w:val="Heading5"/>
    <w:uiPriority w:val="4"/>
    <w:rsid w:val="00D967F0"/>
    <w:rPr>
      <w:rFonts w:ascii="Arial" w:hAnsi="Arial"/>
      <w:bCs/>
      <w:i/>
      <w:kern w:val="32"/>
      <w:sz w:val="24"/>
      <w:szCs w:val="26"/>
    </w:rPr>
  </w:style>
  <w:style w:type="character" w:customStyle="1" w:styleId="Heading6Char">
    <w:name w:val="Heading 6 Char"/>
    <w:aliases w:val="CROMS_Heading 6 Char"/>
    <w:link w:val="Heading6"/>
    <w:rsid w:val="00D967F0"/>
    <w:rPr>
      <w:rFonts w:ascii="Arial" w:hAnsi="Arial"/>
      <w:b/>
      <w:bCs/>
      <w:i/>
      <w:kern w:val="32"/>
      <w:sz w:val="24"/>
      <w:szCs w:val="26"/>
      <w:u w:val="single"/>
    </w:rPr>
  </w:style>
  <w:style w:type="character" w:customStyle="1" w:styleId="Heading7Char">
    <w:name w:val="Heading 7 Char"/>
    <w:aliases w:val="CROMS_Heading 7 Char"/>
    <w:link w:val="Heading7"/>
    <w:uiPriority w:val="6"/>
    <w:rsid w:val="00D967F0"/>
    <w:rPr>
      <w:rFonts w:ascii="Arial" w:hAnsi="Arial"/>
      <w:b/>
      <w:bCs/>
      <w:i/>
      <w:kern w:val="32"/>
      <w:sz w:val="24"/>
      <w:szCs w:val="24"/>
    </w:rPr>
  </w:style>
  <w:style w:type="character" w:customStyle="1" w:styleId="Heading8Char">
    <w:name w:val="Heading 8 Char"/>
    <w:aliases w:val="CROMS_Heading 8 Char"/>
    <w:link w:val="Heading8"/>
    <w:uiPriority w:val="7"/>
    <w:rsid w:val="00D967F0"/>
    <w:rPr>
      <w:rFonts w:ascii="Arial" w:hAnsi="Arial"/>
      <w:b/>
      <w:bCs/>
      <w:iCs/>
      <w:kern w:val="32"/>
      <w:szCs w:val="24"/>
    </w:rPr>
  </w:style>
  <w:style w:type="character" w:customStyle="1" w:styleId="Heading9Char">
    <w:name w:val="Heading 9 Char"/>
    <w:aliases w:val="CROMS_Heading 9 Char"/>
    <w:link w:val="Heading9"/>
    <w:uiPriority w:val="8"/>
    <w:rsid w:val="00D967F0"/>
    <w:rPr>
      <w:rFonts w:ascii="Arial" w:hAnsi="Arial"/>
      <w:b/>
      <w:bCs/>
      <w:i/>
      <w:iCs/>
      <w:kern w:val="32"/>
      <w:szCs w:val="24"/>
      <w:u w:val="single"/>
    </w:rPr>
  </w:style>
  <w:style w:type="paragraph" w:styleId="Title">
    <w:name w:val="Title"/>
    <w:basedOn w:val="Normal"/>
    <w:link w:val="TitleChar"/>
    <w:qFormat/>
    <w:rsid w:val="00D967F0"/>
    <w:pPr>
      <w:spacing w:before="120" w:after="240" w:line="240" w:lineRule="auto"/>
      <w:jc w:val="center"/>
    </w:pPr>
    <w:rPr>
      <w:sz w:val="24"/>
      <w:szCs w:val="24"/>
      <w:lang w:val="x-none" w:eastAsia="x-none"/>
    </w:rPr>
  </w:style>
  <w:style w:type="character" w:customStyle="1" w:styleId="TitleChar">
    <w:name w:val="Title Char"/>
    <w:link w:val="Title"/>
    <w:rsid w:val="00D967F0"/>
    <w:rPr>
      <w:rFonts w:ascii="Arial" w:hAnsi="Arial"/>
      <w:sz w:val="24"/>
      <w:szCs w:val="24"/>
    </w:rPr>
  </w:style>
  <w:style w:type="paragraph" w:styleId="Subtitle">
    <w:name w:val="Subtitle"/>
    <w:basedOn w:val="Normal"/>
    <w:link w:val="SubtitleChar"/>
    <w:qFormat/>
    <w:rsid w:val="00D967F0"/>
    <w:pPr>
      <w:spacing w:line="240" w:lineRule="auto"/>
      <w:jc w:val="center"/>
    </w:pPr>
    <w:rPr>
      <w:rFonts w:ascii="Times New Roman" w:hAnsi="Times New Roman"/>
      <w:sz w:val="24"/>
      <w:lang w:val="x-none" w:eastAsia="x-none"/>
    </w:rPr>
  </w:style>
  <w:style w:type="character" w:customStyle="1" w:styleId="SubtitleChar">
    <w:name w:val="Subtitle Char"/>
    <w:link w:val="Subtitle"/>
    <w:rsid w:val="00D967F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319088">
      <w:bodyDiv w:val="1"/>
      <w:marLeft w:val="0"/>
      <w:marRight w:val="0"/>
      <w:marTop w:val="0"/>
      <w:marBottom w:val="0"/>
      <w:divBdr>
        <w:top w:val="none" w:sz="0" w:space="0" w:color="auto"/>
        <w:left w:val="none" w:sz="0" w:space="0" w:color="auto"/>
        <w:bottom w:val="none" w:sz="0" w:space="0" w:color="auto"/>
        <w:right w:val="none" w:sz="0" w:space="0" w:color="auto"/>
      </w:divBdr>
    </w:div>
    <w:div w:id="1150057726">
      <w:bodyDiv w:val="1"/>
      <w:marLeft w:val="0"/>
      <w:marRight w:val="0"/>
      <w:marTop w:val="0"/>
      <w:marBottom w:val="0"/>
      <w:divBdr>
        <w:top w:val="none" w:sz="0" w:space="0" w:color="auto"/>
        <w:left w:val="none" w:sz="0" w:space="0" w:color="auto"/>
        <w:bottom w:val="none" w:sz="0" w:space="0" w:color="auto"/>
        <w:right w:val="none" w:sz="0" w:space="0" w:color="auto"/>
      </w:divBdr>
      <w:divsChild>
        <w:div w:id="127473937">
          <w:marLeft w:val="547"/>
          <w:marRight w:val="0"/>
          <w:marTop w:val="520"/>
          <w:marBottom w:val="0"/>
          <w:divBdr>
            <w:top w:val="none" w:sz="0" w:space="0" w:color="auto"/>
            <w:left w:val="none" w:sz="0" w:space="0" w:color="auto"/>
            <w:bottom w:val="none" w:sz="0" w:space="0" w:color="auto"/>
            <w:right w:val="none" w:sz="0" w:space="0" w:color="auto"/>
          </w:divBdr>
        </w:div>
        <w:div w:id="567230818">
          <w:marLeft w:val="547"/>
          <w:marRight w:val="0"/>
          <w:marTop w:val="520"/>
          <w:marBottom w:val="0"/>
          <w:divBdr>
            <w:top w:val="none" w:sz="0" w:space="0" w:color="auto"/>
            <w:left w:val="none" w:sz="0" w:space="0" w:color="auto"/>
            <w:bottom w:val="none" w:sz="0" w:space="0" w:color="auto"/>
            <w:right w:val="none" w:sz="0" w:space="0" w:color="auto"/>
          </w:divBdr>
        </w:div>
        <w:div w:id="1144003191">
          <w:marLeft w:val="547"/>
          <w:marRight w:val="0"/>
          <w:marTop w:val="520"/>
          <w:marBottom w:val="0"/>
          <w:divBdr>
            <w:top w:val="none" w:sz="0" w:space="0" w:color="auto"/>
            <w:left w:val="none" w:sz="0" w:space="0" w:color="auto"/>
            <w:bottom w:val="none" w:sz="0" w:space="0" w:color="auto"/>
            <w:right w:val="none" w:sz="0" w:space="0" w:color="auto"/>
          </w:divBdr>
        </w:div>
      </w:divsChild>
    </w:div>
    <w:div w:id="1348797824">
      <w:bodyDiv w:val="1"/>
      <w:marLeft w:val="0"/>
      <w:marRight w:val="0"/>
      <w:marTop w:val="0"/>
      <w:marBottom w:val="0"/>
      <w:divBdr>
        <w:top w:val="none" w:sz="0" w:space="0" w:color="auto"/>
        <w:left w:val="none" w:sz="0" w:space="0" w:color="auto"/>
        <w:bottom w:val="none" w:sz="0" w:space="0" w:color="auto"/>
        <w:right w:val="none" w:sz="0" w:space="0" w:color="auto"/>
      </w:divBdr>
    </w:div>
    <w:div w:id="2013793563">
      <w:bodyDiv w:val="1"/>
      <w:marLeft w:val="0"/>
      <w:marRight w:val="0"/>
      <w:marTop w:val="0"/>
      <w:marBottom w:val="0"/>
      <w:divBdr>
        <w:top w:val="none" w:sz="0" w:space="0" w:color="auto"/>
        <w:left w:val="none" w:sz="0" w:space="0" w:color="auto"/>
        <w:bottom w:val="none" w:sz="0" w:space="0" w:color="auto"/>
        <w:right w:val="none" w:sz="0" w:space="0" w:color="auto"/>
      </w:divBdr>
      <w:divsChild>
        <w:div w:id="15814206">
          <w:marLeft w:val="1008"/>
          <w:marRight w:val="0"/>
          <w:marTop w:val="273"/>
          <w:marBottom w:val="0"/>
          <w:divBdr>
            <w:top w:val="none" w:sz="0" w:space="0" w:color="auto"/>
            <w:left w:val="none" w:sz="0" w:space="0" w:color="auto"/>
            <w:bottom w:val="none" w:sz="0" w:space="0" w:color="auto"/>
            <w:right w:val="none" w:sz="0" w:space="0" w:color="auto"/>
          </w:divBdr>
        </w:div>
        <w:div w:id="364406851">
          <w:marLeft w:val="1008"/>
          <w:marRight w:val="0"/>
          <w:marTop w:val="273"/>
          <w:marBottom w:val="0"/>
          <w:divBdr>
            <w:top w:val="none" w:sz="0" w:space="0" w:color="auto"/>
            <w:left w:val="none" w:sz="0" w:space="0" w:color="auto"/>
            <w:bottom w:val="none" w:sz="0" w:space="0" w:color="auto"/>
            <w:right w:val="none" w:sz="0" w:space="0" w:color="auto"/>
          </w:divBdr>
        </w:div>
        <w:div w:id="809632414">
          <w:marLeft w:val="1008"/>
          <w:marRight w:val="0"/>
          <w:marTop w:val="273"/>
          <w:marBottom w:val="0"/>
          <w:divBdr>
            <w:top w:val="none" w:sz="0" w:space="0" w:color="auto"/>
            <w:left w:val="none" w:sz="0" w:space="0" w:color="auto"/>
            <w:bottom w:val="none" w:sz="0" w:space="0" w:color="auto"/>
            <w:right w:val="none" w:sz="0" w:space="0" w:color="auto"/>
          </w:divBdr>
        </w:div>
        <w:div w:id="907955424">
          <w:marLeft w:val="1008"/>
          <w:marRight w:val="0"/>
          <w:marTop w:val="273"/>
          <w:marBottom w:val="0"/>
          <w:divBdr>
            <w:top w:val="none" w:sz="0" w:space="0" w:color="auto"/>
            <w:left w:val="none" w:sz="0" w:space="0" w:color="auto"/>
            <w:bottom w:val="none" w:sz="0" w:space="0" w:color="auto"/>
            <w:right w:val="none" w:sz="0" w:space="0" w:color="auto"/>
          </w:divBdr>
        </w:div>
        <w:div w:id="1159343782">
          <w:marLeft w:val="1008"/>
          <w:marRight w:val="0"/>
          <w:marTop w:val="273"/>
          <w:marBottom w:val="0"/>
          <w:divBdr>
            <w:top w:val="none" w:sz="0" w:space="0" w:color="auto"/>
            <w:left w:val="none" w:sz="0" w:space="0" w:color="auto"/>
            <w:bottom w:val="none" w:sz="0" w:space="0" w:color="auto"/>
            <w:right w:val="none" w:sz="0" w:space="0" w:color="auto"/>
          </w:divBdr>
        </w:div>
        <w:div w:id="1574199894">
          <w:marLeft w:val="1008"/>
          <w:marRight w:val="0"/>
          <w:marTop w:val="273"/>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hhs.gov/ohrp/policy/advevntguid.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300B7E52DEC34988A120D86BAEC373" ma:contentTypeVersion="2" ma:contentTypeDescription="Create a new document." ma:contentTypeScope="" ma:versionID="1eefdde7fd23d9efc996b222a53c3b05">
  <xsd:schema xmlns:xsd="http://www.w3.org/2001/XMLSchema" xmlns:xs="http://www.w3.org/2001/XMLSchema" xmlns:p="http://schemas.microsoft.com/office/2006/metadata/properties" xmlns:ns1="http://schemas.microsoft.com/sharepoint/v3" xmlns:ns2="852fece1-1881-41ae-961d-eb03a420f142" targetNamespace="http://schemas.microsoft.com/office/2006/metadata/properties" ma:root="true" ma:fieldsID="6f0c642b60894295f6ceb50427ff6d06" ns1:_="" ns2:_="">
    <xsd:import namespace="http://schemas.microsoft.com/sharepoint/v3"/>
    <xsd:import namespace="852fece1-1881-41ae-961d-eb03a420f142"/>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2fece1-1881-41ae-961d-eb03a420f142"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SourceURL xmlns="852fece1-1881-41ae-961d-eb03a420f142"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7F9D8A-AB11-47C0-B5EE-6D1CB53ADFF7}">
  <ds:schemaRefs>
    <ds:schemaRef ds:uri="http://schemas.microsoft.com/sharepoint/v3/contenttype/forms"/>
  </ds:schemaRefs>
</ds:datastoreItem>
</file>

<file path=customXml/itemProps2.xml><?xml version="1.0" encoding="utf-8"?>
<ds:datastoreItem xmlns:ds="http://schemas.openxmlformats.org/officeDocument/2006/customXml" ds:itemID="{62C43340-3E88-4230-BB9F-7CCCC321D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2fece1-1881-41ae-961d-eb03a420f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0A09C2-A8DE-4A4C-9E35-CE6B11681043}">
  <ds:schemaRefs>
    <ds:schemaRef ds:uri="http://schemas.microsoft.com/office/2006/metadata/properties"/>
    <ds:schemaRef ds:uri="http://schemas.microsoft.com/office/infopath/2007/PartnerControls"/>
    <ds:schemaRef ds:uri="852fece1-1881-41ae-961d-eb03a420f14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Safety Definitions for Clinical Research v2</vt:lpstr>
    </vt:vector>
  </TitlesOfParts>
  <Company>Rho, Inc.</Company>
  <LinksUpToDate>false</LinksUpToDate>
  <CharactersWithSpaces>9943</CharactersWithSpaces>
  <SharedDoc>false</SharedDoc>
  <HLinks>
    <vt:vector size="6" baseType="variant">
      <vt:variant>
        <vt:i4>7143461</vt:i4>
      </vt:variant>
      <vt:variant>
        <vt:i4>0</vt:i4>
      </vt:variant>
      <vt:variant>
        <vt:i4>0</vt:i4>
      </vt:variant>
      <vt:variant>
        <vt:i4>5</vt:i4>
      </vt:variant>
      <vt:variant>
        <vt:lpwstr>http://www.hhs.gov/ohrp/policy/advevntguid.html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Definitions for Clinical Research v2</dc:title>
  <dc:creator>nidcrinfo@mail.nih.gov</dc:creator>
  <cp:lastModifiedBy>John Bobosh</cp:lastModifiedBy>
  <cp:revision>6</cp:revision>
  <cp:lastPrinted>2013-03-25T20:37:00Z</cp:lastPrinted>
  <dcterms:created xsi:type="dcterms:W3CDTF">2017-11-01T20:11:00Z</dcterms:created>
  <dcterms:modified xsi:type="dcterms:W3CDTF">2018-03-27T16:45:00Z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0x01010073300B7E52DEC34988A120D86BAEC373</vt:lpwstr>
  </property>
</Properties>
</file>